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5.xml" ContentType="application/vnd.openxmlformats-officedocument.wordprocessingml.header+xml"/>
  <Override PartName="/word/footer5.xml" ContentType="application/vnd.openxmlformats-officedocument.wordprocessingml.footer+xml"/>
  <Override PartName="/word/charts/chart6.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D6A18" w14:textId="77777777" w:rsidR="00B01A7C" w:rsidRDefault="00B01A7C" w:rsidP="00EE320E">
      <w:pPr>
        <w:jc w:val="center"/>
        <w:rPr>
          <w:rFonts w:eastAsia="Calibri"/>
          <w:b/>
          <w:color w:val="31849B"/>
          <w:sz w:val="56"/>
          <w:szCs w:val="56"/>
          <w:lang w:val="en-GB"/>
        </w:rPr>
      </w:pPr>
    </w:p>
    <w:p w14:paraId="3D150FF4" w14:textId="77777777" w:rsidR="00B01A7C" w:rsidRDefault="00B01A7C" w:rsidP="00EE320E">
      <w:pPr>
        <w:jc w:val="center"/>
        <w:rPr>
          <w:rFonts w:eastAsia="Calibri"/>
          <w:b/>
          <w:color w:val="31849B"/>
          <w:sz w:val="56"/>
          <w:szCs w:val="56"/>
          <w:lang w:val="en-GB"/>
        </w:rPr>
      </w:pPr>
    </w:p>
    <w:p w14:paraId="14B8A0B0" w14:textId="69D21FA6" w:rsidR="00EE320E" w:rsidRPr="006836DF" w:rsidRDefault="00EE320E" w:rsidP="00EE320E">
      <w:pPr>
        <w:jc w:val="center"/>
        <w:rPr>
          <w:rFonts w:eastAsia="Calibri"/>
          <w:b/>
          <w:color w:val="31849B"/>
          <w:sz w:val="56"/>
          <w:szCs w:val="56"/>
          <w:lang w:val="en-GB"/>
        </w:rPr>
      </w:pPr>
      <w:r w:rsidRPr="006836DF">
        <w:rPr>
          <w:rFonts w:eastAsia="Calibri"/>
          <w:b/>
          <w:color w:val="31849B"/>
          <w:sz w:val="56"/>
          <w:szCs w:val="56"/>
          <w:lang w:val="en-GB"/>
        </w:rPr>
        <w:t>WP5</w:t>
      </w:r>
    </w:p>
    <w:p w14:paraId="09F94E17" w14:textId="539CACE0" w:rsidR="00EE320E" w:rsidRPr="006836DF" w:rsidRDefault="00EE320E" w:rsidP="00EE320E">
      <w:pPr>
        <w:jc w:val="center"/>
        <w:rPr>
          <w:rFonts w:eastAsia="Calibri"/>
          <w:b/>
          <w:color w:val="31849B"/>
          <w:sz w:val="32"/>
          <w:szCs w:val="32"/>
          <w:lang w:val="en-GB"/>
        </w:rPr>
      </w:pPr>
    </w:p>
    <w:p w14:paraId="3C358D24" w14:textId="25C31CF6" w:rsidR="00EE320E" w:rsidRPr="006836DF" w:rsidRDefault="00EE320E" w:rsidP="00EE320E">
      <w:pPr>
        <w:jc w:val="center"/>
        <w:rPr>
          <w:rFonts w:eastAsia="Calibri"/>
          <w:b/>
          <w:color w:val="31849B"/>
          <w:sz w:val="32"/>
          <w:szCs w:val="32"/>
          <w:lang w:val="en-GB"/>
        </w:rPr>
      </w:pPr>
      <w:r w:rsidRPr="006836DF">
        <w:rPr>
          <w:rFonts w:eastAsia="Calibri"/>
          <w:b/>
          <w:color w:val="31849B"/>
          <w:sz w:val="32"/>
          <w:szCs w:val="32"/>
          <w:lang w:val="en-GB"/>
        </w:rPr>
        <w:t>Task 5.3</w:t>
      </w:r>
      <w:r w:rsidR="00B37623" w:rsidRPr="006836DF">
        <w:rPr>
          <w:rFonts w:eastAsia="Calibri"/>
          <w:b/>
          <w:color w:val="31849B"/>
          <w:sz w:val="32"/>
          <w:szCs w:val="32"/>
          <w:lang w:val="en-GB"/>
        </w:rPr>
        <w:t>: “</w:t>
      </w:r>
      <w:r w:rsidRPr="006836DF">
        <w:rPr>
          <w:rFonts w:eastAsia="Calibri"/>
          <w:b/>
          <w:color w:val="31849B"/>
          <w:sz w:val="32"/>
          <w:szCs w:val="32"/>
          <w:lang w:val="en-GB"/>
        </w:rPr>
        <w:t>INTEGRATED SUSTAINABLE ENERGY PLAN AND SEAP/SECAP (ONLY MITIGATION PART) DRAFTING AND ADOPTION ACKNOWLEDGEMENT”</w:t>
      </w:r>
    </w:p>
    <w:p w14:paraId="6D746E2D" w14:textId="77777777" w:rsidR="00EE320E" w:rsidRPr="006836DF" w:rsidRDefault="00EE320E" w:rsidP="00EE320E">
      <w:pPr>
        <w:jc w:val="center"/>
        <w:rPr>
          <w:rFonts w:eastAsia="Calibri"/>
          <w:b/>
          <w:color w:val="31849B"/>
          <w:sz w:val="48"/>
          <w:szCs w:val="48"/>
          <w:lang w:val="en-GB"/>
        </w:rPr>
      </w:pPr>
    </w:p>
    <w:p w14:paraId="26B394DB" w14:textId="77777777" w:rsidR="00AB5DF3" w:rsidRPr="006836DF" w:rsidRDefault="009C261A" w:rsidP="009C261A">
      <w:pPr>
        <w:jc w:val="center"/>
        <w:rPr>
          <w:rFonts w:eastAsia="Calibri"/>
          <w:b/>
          <w:color w:val="31849B"/>
          <w:sz w:val="48"/>
          <w:szCs w:val="48"/>
          <w:lang w:val="en-GB"/>
        </w:rPr>
      </w:pPr>
      <w:r w:rsidRPr="006836DF">
        <w:rPr>
          <w:rFonts w:eastAsia="Calibri"/>
          <w:b/>
          <w:color w:val="31849B"/>
          <w:sz w:val="48"/>
          <w:szCs w:val="48"/>
          <w:lang w:val="en-GB"/>
        </w:rPr>
        <w:t>SF_5.3c</w:t>
      </w:r>
      <w:r w:rsidR="00EE320E" w:rsidRPr="006836DF">
        <w:rPr>
          <w:rFonts w:eastAsia="Calibri"/>
          <w:b/>
          <w:color w:val="31849B"/>
          <w:sz w:val="48"/>
          <w:szCs w:val="48"/>
          <w:lang w:val="en-GB"/>
        </w:rPr>
        <w:t xml:space="preserve">: </w:t>
      </w:r>
      <w:r w:rsidRPr="006836DF">
        <w:rPr>
          <w:rFonts w:eastAsia="Calibri"/>
          <w:b/>
          <w:color w:val="31849B"/>
          <w:sz w:val="48"/>
          <w:szCs w:val="48"/>
          <w:lang w:val="en-GB"/>
        </w:rPr>
        <w:t>SECAP Executive Summary template</w:t>
      </w:r>
    </w:p>
    <w:p w14:paraId="52626D99" w14:textId="77777777" w:rsidR="00686B17" w:rsidRPr="006836DF" w:rsidRDefault="00686B17" w:rsidP="009C261A">
      <w:pPr>
        <w:jc w:val="center"/>
        <w:rPr>
          <w:rFonts w:eastAsia="Calibri"/>
          <w:b/>
          <w:color w:val="31849B"/>
          <w:sz w:val="48"/>
          <w:szCs w:val="48"/>
          <w:lang w:val="en-GB"/>
        </w:rPr>
      </w:pPr>
    </w:p>
    <w:p w14:paraId="251370D5" w14:textId="77777777" w:rsidR="00686B17" w:rsidRPr="006836DF" w:rsidRDefault="00686B17" w:rsidP="009C261A">
      <w:pPr>
        <w:jc w:val="center"/>
        <w:rPr>
          <w:rFonts w:eastAsia="Calibri"/>
          <w:b/>
          <w:color w:val="31849B"/>
          <w:sz w:val="24"/>
          <w:szCs w:val="24"/>
          <w:lang w:val="en-GB"/>
        </w:rPr>
      </w:pPr>
      <w:r w:rsidRPr="006836DF">
        <w:rPr>
          <w:rFonts w:eastAsia="Calibri"/>
          <w:b/>
          <w:color w:val="31849B"/>
          <w:sz w:val="24"/>
          <w:szCs w:val="24"/>
          <w:lang w:val="en-GB"/>
        </w:rPr>
        <w:t>CRES</w:t>
      </w:r>
    </w:p>
    <w:p w14:paraId="007B3BC6" w14:textId="31C752FC" w:rsidR="00E22C0F" w:rsidRDefault="00642CF1" w:rsidP="00E22C0F">
      <w:pPr>
        <w:jc w:val="center"/>
        <w:rPr>
          <w:rFonts w:eastAsia="Calibri"/>
          <w:sz w:val="48"/>
          <w:szCs w:val="48"/>
          <w:lang w:val="en-GB"/>
        </w:rPr>
      </w:pPr>
      <w:r w:rsidRPr="006836DF">
        <w:rPr>
          <w:rFonts w:eastAsia="Calibri"/>
          <w:sz w:val="48"/>
          <w:szCs w:val="48"/>
          <w:lang w:val="en-GB"/>
        </w:rPr>
        <w:br w:type="page"/>
      </w:r>
    </w:p>
    <w:p w14:paraId="2C9437CA" w14:textId="4748D934" w:rsidR="00E22C0F" w:rsidRDefault="00E22C0F" w:rsidP="00E22C0F">
      <w:pPr>
        <w:jc w:val="center"/>
        <w:rPr>
          <w:rFonts w:eastAsia="Calibri"/>
          <w:lang w:val="en-GB"/>
        </w:rPr>
      </w:pPr>
    </w:p>
    <w:p w14:paraId="1460A15C" w14:textId="4A80C28D" w:rsidR="00B01A7C" w:rsidRDefault="00B01A7C" w:rsidP="00E22C0F">
      <w:pPr>
        <w:jc w:val="center"/>
        <w:rPr>
          <w:rFonts w:eastAsia="Calibri"/>
          <w:lang w:val="en-GB"/>
        </w:rPr>
      </w:pPr>
    </w:p>
    <w:p w14:paraId="48B48206" w14:textId="77777777" w:rsidR="00B01A7C" w:rsidRDefault="00B01A7C" w:rsidP="00E22C0F">
      <w:pPr>
        <w:jc w:val="center"/>
        <w:rPr>
          <w:rFonts w:eastAsia="Calibri"/>
          <w:lang w:val="en-GB"/>
        </w:rPr>
      </w:pPr>
    </w:p>
    <w:p w14:paraId="5C746C44" w14:textId="77777777" w:rsidR="00E22C0F" w:rsidRDefault="00E22C0F" w:rsidP="00E22C0F">
      <w:pPr>
        <w:jc w:val="center"/>
        <w:rPr>
          <w:rFonts w:eastAsia="Calibri"/>
          <w:lang w:val="en-GB"/>
        </w:rPr>
        <w:sectPr w:rsidR="00E22C0F" w:rsidSect="00FC6EE6">
          <w:headerReference w:type="even" r:id="rId8"/>
          <w:headerReference w:type="default" r:id="rId9"/>
          <w:footerReference w:type="even" r:id="rId10"/>
          <w:footerReference w:type="default" r:id="rId11"/>
          <w:headerReference w:type="first" r:id="rId12"/>
          <w:footerReference w:type="first" r:id="rId13"/>
          <w:pgSz w:w="12240" w:h="15840"/>
          <w:pgMar w:top="1440" w:right="1325" w:bottom="1440" w:left="1800" w:header="720" w:footer="720" w:gutter="0"/>
          <w:cols w:space="720"/>
          <w:docGrid w:linePitch="360"/>
        </w:sectPr>
      </w:pPr>
    </w:p>
    <w:p w14:paraId="4BA9C0EE" w14:textId="2FB9A141" w:rsidR="00E22C0F" w:rsidRDefault="00E22C0F" w:rsidP="00E22C0F">
      <w:pPr>
        <w:jc w:val="center"/>
        <w:rPr>
          <w:rFonts w:eastAsia="Calibri"/>
          <w:lang w:val="en-GB"/>
        </w:rPr>
      </w:pPr>
    </w:p>
    <w:p w14:paraId="7F6C0191" w14:textId="404CB9EC" w:rsidR="00E22C0F" w:rsidRDefault="00E22C0F" w:rsidP="00E22C0F">
      <w:pPr>
        <w:jc w:val="center"/>
        <w:rPr>
          <w:rFonts w:eastAsia="Calibri"/>
          <w:lang w:val="en-GB"/>
        </w:rPr>
      </w:pPr>
    </w:p>
    <w:p w14:paraId="5A857484" w14:textId="6CC1F0E6" w:rsidR="00E22C0F" w:rsidRPr="003E4D74" w:rsidRDefault="008335F0" w:rsidP="008335F0">
      <w:pPr>
        <w:pStyle w:val="Naslov1"/>
        <w:rPr>
          <w:rFonts w:ascii="Century Gothic" w:hAnsi="Century Gothic"/>
          <w:sz w:val="40"/>
          <w:szCs w:val="40"/>
        </w:rPr>
      </w:pPr>
      <w:r w:rsidRPr="003E4D74">
        <w:rPr>
          <w:rFonts w:ascii="Century Gothic" w:hAnsi="Century Gothic"/>
          <w:sz w:val="40"/>
          <w:szCs w:val="40"/>
        </w:rPr>
        <w:t>Sustainable Energy and Climate Action Plan</w:t>
      </w:r>
    </w:p>
    <w:p w14:paraId="674394CC" w14:textId="496F04A8" w:rsidR="008335F0" w:rsidRPr="003E4D74" w:rsidRDefault="008335F0" w:rsidP="008335F0">
      <w:pPr>
        <w:pStyle w:val="Naslov2"/>
        <w:rPr>
          <w:rFonts w:ascii="Century Gothic" w:hAnsi="Century Gothic"/>
        </w:rPr>
      </w:pPr>
      <w:r w:rsidRPr="003E4D74">
        <w:rPr>
          <w:rFonts w:ascii="Century Gothic" w:hAnsi="Century Gothic"/>
        </w:rPr>
        <w:t>Executive Summary</w:t>
      </w:r>
    </w:p>
    <w:p w14:paraId="43127B18" w14:textId="037B220C" w:rsidR="008335F0" w:rsidRPr="003E4D74" w:rsidRDefault="008335F0" w:rsidP="00E22C0F">
      <w:pPr>
        <w:jc w:val="center"/>
        <w:rPr>
          <w:rFonts w:ascii="Century Gothic" w:eastAsia="Calibri" w:hAnsi="Century Gothic"/>
          <w:lang w:val="en-GB"/>
        </w:rPr>
      </w:pPr>
    </w:p>
    <w:p w14:paraId="25D5E261" w14:textId="4A770652" w:rsidR="008335F0" w:rsidRPr="003E4D74" w:rsidRDefault="00DA25E9" w:rsidP="008335F0">
      <w:pPr>
        <w:pStyle w:val="Naslov3"/>
        <w:jc w:val="center"/>
        <w:rPr>
          <w:rFonts w:ascii="Century Gothic" w:eastAsia="Calibri" w:hAnsi="Century Gothic"/>
          <w:lang w:val="en-GB"/>
        </w:rPr>
      </w:pPr>
      <w:r>
        <w:rPr>
          <w:rFonts w:ascii="Century Gothic" w:eastAsia="Calibri" w:hAnsi="Century Gothic"/>
          <w:lang w:val="en-GB"/>
        </w:rPr>
        <w:t>Vodnjan</w:t>
      </w:r>
      <w:r w:rsidR="008335F0" w:rsidRPr="003E4D74">
        <w:rPr>
          <w:rFonts w:ascii="Century Gothic" w:eastAsia="Calibri" w:hAnsi="Century Gothic"/>
          <w:lang w:val="en-GB"/>
        </w:rPr>
        <w:t xml:space="preserve">, </w:t>
      </w:r>
      <w:r>
        <w:rPr>
          <w:rFonts w:ascii="Century Gothic" w:eastAsia="Calibri" w:hAnsi="Century Gothic"/>
          <w:lang w:val="en-GB"/>
        </w:rPr>
        <w:t>Croatia</w:t>
      </w:r>
    </w:p>
    <w:p w14:paraId="6AA826A8" w14:textId="77777777" w:rsidR="008335F0" w:rsidRPr="003E4D74" w:rsidRDefault="008335F0" w:rsidP="00E22C0F">
      <w:pPr>
        <w:jc w:val="center"/>
        <w:rPr>
          <w:rFonts w:ascii="Century Gothic" w:eastAsia="Calibri" w:hAnsi="Century Gothic"/>
          <w:lang w:val="en-GB"/>
        </w:rPr>
      </w:pPr>
    </w:p>
    <w:p w14:paraId="4F4E6C53" w14:textId="0F112E73" w:rsidR="008335F0" w:rsidRPr="003E4D74" w:rsidRDefault="00DA25E9" w:rsidP="00E22C0F">
      <w:pPr>
        <w:jc w:val="center"/>
        <w:rPr>
          <w:rFonts w:ascii="Century Gothic" w:eastAsia="Calibri" w:hAnsi="Century Gothic"/>
          <w:lang w:val="en-GB"/>
        </w:rPr>
      </w:pPr>
      <w:r>
        <w:rPr>
          <w:rFonts w:ascii="Century Gothic" w:eastAsia="Calibri" w:hAnsi="Century Gothic"/>
          <w:color w:val="C45911" w:themeColor="accent2" w:themeShade="BF"/>
          <w:lang w:val="en-GB"/>
        </w:rPr>
        <w:t>April</w:t>
      </w:r>
      <w:r w:rsidR="008335F0" w:rsidRPr="003E4D74">
        <w:rPr>
          <w:rFonts w:ascii="Century Gothic" w:eastAsia="Calibri" w:hAnsi="Century Gothic"/>
          <w:lang w:val="en-GB"/>
        </w:rPr>
        <w:t xml:space="preserve"> 2019</w:t>
      </w:r>
    </w:p>
    <w:p w14:paraId="52C34B85" w14:textId="3A310DCE" w:rsidR="008335F0" w:rsidRPr="003E4D74" w:rsidRDefault="008335F0" w:rsidP="00E22C0F">
      <w:pPr>
        <w:jc w:val="center"/>
        <w:rPr>
          <w:rFonts w:ascii="Century Gothic" w:eastAsia="Calibri" w:hAnsi="Century Gothic"/>
          <w:lang w:val="en-GB"/>
        </w:rPr>
      </w:pPr>
    </w:p>
    <w:p w14:paraId="06EB74D3" w14:textId="4EA13B2F" w:rsidR="008335F0" w:rsidRPr="003E4D74" w:rsidRDefault="008335F0" w:rsidP="00E22C0F">
      <w:pPr>
        <w:jc w:val="center"/>
        <w:rPr>
          <w:rFonts w:ascii="Century Gothic" w:eastAsia="Calibri" w:hAnsi="Century Gothic"/>
          <w:lang w:val="en-GB"/>
        </w:rPr>
      </w:pPr>
    </w:p>
    <w:p w14:paraId="1A686B4B" w14:textId="1D3F0774" w:rsidR="008335F0" w:rsidRPr="003E4D74" w:rsidRDefault="008335F0" w:rsidP="00E22C0F">
      <w:pPr>
        <w:jc w:val="center"/>
        <w:rPr>
          <w:rFonts w:ascii="Century Gothic" w:eastAsia="Calibri" w:hAnsi="Century Gothic"/>
          <w:lang w:val="en-GB"/>
        </w:rPr>
      </w:pPr>
    </w:p>
    <w:tbl>
      <w:tblPr>
        <w:tblStyle w:val="Reetkatablice"/>
        <w:tblW w:w="95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6"/>
        <w:gridCol w:w="2493"/>
        <w:gridCol w:w="3400"/>
      </w:tblGrid>
      <w:tr w:rsidR="003E4D74" w:rsidRPr="003E4D74" w14:paraId="04FB8787" w14:textId="77777777" w:rsidTr="003E4D74">
        <w:trPr>
          <w:trHeight w:val="2210"/>
        </w:trPr>
        <w:tc>
          <w:tcPr>
            <w:tcW w:w="2977" w:type="dxa"/>
            <w:vAlign w:val="center"/>
          </w:tcPr>
          <w:p w14:paraId="789BDBC3" w14:textId="62786F5D" w:rsidR="00574775" w:rsidRPr="003E4D74" w:rsidRDefault="00DA25E9" w:rsidP="003E4D74">
            <w:pPr>
              <w:spacing w:after="0" w:line="240" w:lineRule="auto"/>
              <w:jc w:val="center"/>
              <w:rPr>
                <w:rFonts w:ascii="Century Gothic" w:eastAsia="Calibri" w:hAnsi="Century Gothic"/>
                <w:lang w:val="en-GB"/>
              </w:rPr>
            </w:pPr>
            <w:r>
              <w:rPr>
                <w:noProof/>
                <w:color w:val="0000FF"/>
                <w:lang w:val="en-US" w:eastAsia="en-US"/>
              </w:rPr>
              <w:drawing>
                <wp:inline distT="0" distB="0" distL="0" distR="0" wp14:anchorId="41552EC2" wp14:editId="419AF0B0">
                  <wp:extent cx="2208741" cy="1429131"/>
                  <wp:effectExtent l="0" t="0" r="1270" b="0"/>
                  <wp:docPr id="9" name="irc_mi" descr="Slikovni rezultat za grad vodnj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rc_mi" descr="Slikovni rezultat za grad vodnjan logo"/>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47338" cy="1454105"/>
                          </a:xfrm>
                          <a:prstGeom prst="rect">
                            <a:avLst/>
                          </a:prstGeom>
                          <a:noFill/>
                          <a:ln>
                            <a:noFill/>
                          </a:ln>
                        </pic:spPr>
                      </pic:pic>
                    </a:graphicData>
                  </a:graphic>
                </wp:inline>
              </w:drawing>
            </w:r>
          </w:p>
        </w:tc>
        <w:tc>
          <w:tcPr>
            <w:tcW w:w="3085" w:type="dxa"/>
            <w:vAlign w:val="center"/>
          </w:tcPr>
          <w:p w14:paraId="0E4AAD39" w14:textId="5BF7C3B7" w:rsidR="00574775" w:rsidRPr="003E4D74" w:rsidRDefault="00574775" w:rsidP="00B37623">
            <w:pPr>
              <w:spacing w:after="0" w:line="240" w:lineRule="auto"/>
              <w:rPr>
                <w:rFonts w:ascii="Century Gothic" w:eastAsia="Calibri" w:hAnsi="Century Gothic"/>
                <w:lang w:val="en-GB"/>
              </w:rPr>
            </w:pPr>
            <w:r w:rsidRPr="003E4D74">
              <w:rPr>
                <w:rFonts w:ascii="Century Gothic" w:hAnsi="Century Gothic"/>
                <w:noProof/>
                <w:lang w:val="en-US" w:eastAsia="en-US"/>
              </w:rPr>
              <w:drawing>
                <wp:inline distT="0" distB="0" distL="0" distR="0" wp14:anchorId="4B1C3CCA" wp14:editId="0C6F7EA8">
                  <wp:extent cx="1294244" cy="792000"/>
                  <wp:effectExtent l="0" t="0" r="1270" b="8255"/>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94244" cy="792000"/>
                          </a:xfrm>
                          <a:prstGeom prst="rect">
                            <a:avLst/>
                          </a:prstGeom>
                          <a:noFill/>
                          <a:ln>
                            <a:noFill/>
                          </a:ln>
                        </pic:spPr>
                      </pic:pic>
                    </a:graphicData>
                  </a:graphic>
                </wp:inline>
              </w:drawing>
            </w:r>
          </w:p>
        </w:tc>
        <w:tc>
          <w:tcPr>
            <w:tcW w:w="3527" w:type="dxa"/>
            <w:vAlign w:val="center"/>
          </w:tcPr>
          <w:p w14:paraId="61E40E0A" w14:textId="78E2C07E" w:rsidR="00574775" w:rsidRPr="003E4D74" w:rsidRDefault="003E4D74" w:rsidP="003E4D74">
            <w:pPr>
              <w:spacing w:after="0" w:line="240" w:lineRule="auto"/>
              <w:jc w:val="center"/>
              <w:rPr>
                <w:rFonts w:ascii="Century Gothic" w:eastAsia="Calibri" w:hAnsi="Century Gothic"/>
                <w:lang w:val="en-GB"/>
              </w:rPr>
            </w:pPr>
            <w:r>
              <w:rPr>
                <w:noProof/>
                <w:lang w:val="en-US" w:eastAsia="en-US"/>
              </w:rPr>
              <w:drawing>
                <wp:inline distT="0" distB="0" distL="0" distR="0" wp14:anchorId="370E8767" wp14:editId="5514A55C">
                  <wp:extent cx="1990051" cy="792000"/>
                  <wp:effectExtent l="0" t="0" r="0" b="8255"/>
                  <wp:docPr id="13" name="Picture 13" descr="https://www.covenantofmayors.eu/templates/com/images/logos/logo-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covenantofmayors.eu/templates/com/images/logos/logo-en.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90051" cy="792000"/>
                          </a:xfrm>
                          <a:prstGeom prst="rect">
                            <a:avLst/>
                          </a:prstGeom>
                          <a:noFill/>
                          <a:ln>
                            <a:noFill/>
                          </a:ln>
                        </pic:spPr>
                      </pic:pic>
                    </a:graphicData>
                  </a:graphic>
                </wp:inline>
              </w:drawing>
            </w:r>
          </w:p>
        </w:tc>
      </w:tr>
    </w:tbl>
    <w:p w14:paraId="160DA14B" w14:textId="1922FCD5" w:rsidR="008335F0" w:rsidRPr="003E4D74" w:rsidRDefault="008335F0" w:rsidP="00E22C0F">
      <w:pPr>
        <w:jc w:val="center"/>
        <w:rPr>
          <w:rFonts w:ascii="Century Gothic" w:eastAsia="Calibri" w:hAnsi="Century Gothic"/>
          <w:lang w:val="en-GB"/>
        </w:rPr>
      </w:pPr>
    </w:p>
    <w:p w14:paraId="16EB515D" w14:textId="12FCE407" w:rsidR="008335F0" w:rsidRDefault="008335F0" w:rsidP="00E22C0F">
      <w:pPr>
        <w:jc w:val="center"/>
        <w:rPr>
          <w:rFonts w:ascii="Century Gothic" w:eastAsia="Calibri" w:hAnsi="Century Gothic"/>
          <w:lang w:val="en-GB"/>
        </w:rPr>
      </w:pPr>
    </w:p>
    <w:p w14:paraId="0AC49EF6" w14:textId="70759557" w:rsidR="003E4D74" w:rsidRDefault="003E4D74" w:rsidP="00E22C0F">
      <w:pPr>
        <w:jc w:val="center"/>
        <w:rPr>
          <w:rFonts w:ascii="Century Gothic" w:eastAsia="Calibri" w:hAnsi="Century Gothic"/>
          <w:lang w:val="en-GB"/>
        </w:rPr>
      </w:pPr>
    </w:p>
    <w:p w14:paraId="69EF30E0" w14:textId="0C2ABC71" w:rsidR="003E4D74" w:rsidRDefault="003E4D74" w:rsidP="00E22C0F">
      <w:pPr>
        <w:jc w:val="center"/>
        <w:rPr>
          <w:rFonts w:ascii="Century Gothic" w:eastAsia="Calibri" w:hAnsi="Century Gothic"/>
          <w:lang w:val="en-GB"/>
        </w:rPr>
      </w:pPr>
    </w:p>
    <w:p w14:paraId="5E8BF006" w14:textId="19D1B23F" w:rsidR="003E4D74" w:rsidRDefault="003E4D74" w:rsidP="00E22C0F">
      <w:pPr>
        <w:jc w:val="center"/>
        <w:rPr>
          <w:rFonts w:ascii="Century Gothic" w:eastAsia="Calibri" w:hAnsi="Century Gothic"/>
          <w:lang w:val="en-GB"/>
        </w:rPr>
      </w:pPr>
    </w:p>
    <w:tbl>
      <w:tblPr>
        <w:tblStyle w:val="Reetkatablic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6"/>
        <w:gridCol w:w="4230"/>
      </w:tblGrid>
      <w:tr w:rsidR="00795DB2" w:rsidRPr="003272E4" w14:paraId="718124E4" w14:textId="77777777" w:rsidTr="00795DB2">
        <w:trPr>
          <w:trHeight w:val="1123"/>
          <w:jc w:val="center"/>
        </w:trPr>
        <w:tc>
          <w:tcPr>
            <w:tcW w:w="1285" w:type="dxa"/>
            <w:vAlign w:val="center"/>
          </w:tcPr>
          <w:p w14:paraId="79497830" w14:textId="5AFF9B77" w:rsidR="00795DB2" w:rsidRDefault="00795DB2" w:rsidP="00795DB2">
            <w:pPr>
              <w:spacing w:after="0" w:line="240" w:lineRule="auto"/>
              <w:jc w:val="center"/>
              <w:rPr>
                <w:rFonts w:ascii="Century Gothic" w:eastAsia="Calibri" w:hAnsi="Century Gothic"/>
                <w:lang w:val="en-GB"/>
              </w:rPr>
            </w:pPr>
            <w:r>
              <w:rPr>
                <w:noProof/>
                <w:lang w:val="en-US" w:eastAsia="en-US"/>
              </w:rPr>
              <w:drawing>
                <wp:inline distT="0" distB="0" distL="0" distR="0" wp14:anchorId="1AFC0ABC" wp14:editId="07DA609B">
                  <wp:extent cx="1176800" cy="792000"/>
                  <wp:effectExtent l="0" t="0" r="4445" b="8255"/>
                  <wp:docPr id="14" name="Picture 14" descr="https://www.covenantofmayors.eu/templates/com/images/eu-fl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covenantofmayors.eu/templates/com/images/eu-flag.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76800" cy="792000"/>
                          </a:xfrm>
                          <a:prstGeom prst="rect">
                            <a:avLst/>
                          </a:prstGeom>
                          <a:noFill/>
                          <a:ln>
                            <a:noFill/>
                          </a:ln>
                        </pic:spPr>
                      </pic:pic>
                    </a:graphicData>
                  </a:graphic>
                </wp:inline>
              </w:drawing>
            </w:r>
          </w:p>
        </w:tc>
        <w:tc>
          <w:tcPr>
            <w:tcW w:w="4230" w:type="dxa"/>
            <w:vAlign w:val="center"/>
          </w:tcPr>
          <w:p w14:paraId="1294CCCA" w14:textId="1C1EDC93" w:rsidR="00795DB2" w:rsidRDefault="00795DB2" w:rsidP="00795DB2">
            <w:pPr>
              <w:spacing w:after="0" w:line="240" w:lineRule="auto"/>
              <w:rPr>
                <w:rFonts w:ascii="Century Gothic" w:eastAsia="Calibri" w:hAnsi="Century Gothic"/>
                <w:lang w:val="en-GB"/>
              </w:rPr>
            </w:pPr>
            <w:r>
              <w:rPr>
                <w:rFonts w:ascii="Century Gothic" w:eastAsia="Calibri" w:hAnsi="Century Gothic"/>
                <w:lang w:val="en-GB"/>
              </w:rPr>
              <w:t>This project has received funding by the European Union’s Horizon 2020 research and innovation programme under grant agreement No 695944</w:t>
            </w:r>
          </w:p>
        </w:tc>
      </w:tr>
    </w:tbl>
    <w:p w14:paraId="2575CADF" w14:textId="0C9EDA87" w:rsidR="00E22C0F" w:rsidRPr="003E4D74" w:rsidRDefault="00E22C0F" w:rsidP="00E22C0F">
      <w:pPr>
        <w:jc w:val="center"/>
        <w:rPr>
          <w:rFonts w:ascii="Century Gothic" w:eastAsia="Calibri" w:hAnsi="Century Gothic"/>
          <w:lang w:val="en-GB"/>
        </w:rPr>
      </w:pPr>
    </w:p>
    <w:p w14:paraId="45322D42" w14:textId="77777777" w:rsidR="00E22C0F" w:rsidRDefault="00E22C0F" w:rsidP="00E22C0F">
      <w:pPr>
        <w:jc w:val="center"/>
        <w:rPr>
          <w:rFonts w:eastAsia="Calibri"/>
          <w:lang w:val="en-GB"/>
        </w:rPr>
        <w:sectPr w:rsidR="00E22C0F" w:rsidSect="00FC6EE6">
          <w:headerReference w:type="default" r:id="rId18"/>
          <w:footerReference w:type="default" r:id="rId19"/>
          <w:pgSz w:w="12240" w:h="15840"/>
          <w:pgMar w:top="1440" w:right="1325" w:bottom="1440" w:left="1800" w:header="720" w:footer="720" w:gutter="0"/>
          <w:cols w:space="720"/>
          <w:docGrid w:linePitch="360"/>
        </w:sectPr>
      </w:pPr>
    </w:p>
    <w:p w14:paraId="7BEB949D" w14:textId="77777777" w:rsidR="00686B17" w:rsidRPr="00686B17" w:rsidRDefault="00686B17" w:rsidP="00686B17">
      <w:pPr>
        <w:spacing w:after="160" w:line="259" w:lineRule="auto"/>
        <w:jc w:val="both"/>
        <w:rPr>
          <w:rFonts w:ascii="Century Gothic" w:eastAsia="Calibri" w:hAnsi="Century Gothic" w:cs="Arial"/>
          <w:b/>
          <w:sz w:val="20"/>
          <w:szCs w:val="20"/>
          <w:lang w:val="en-GB" w:eastAsia="en-US"/>
        </w:rPr>
      </w:pPr>
      <w:r w:rsidRPr="00686B17">
        <w:rPr>
          <w:rFonts w:ascii="Century Gothic" w:eastAsia="Calibri" w:hAnsi="Century Gothic" w:cs="Arial"/>
          <w:b/>
          <w:sz w:val="20"/>
          <w:szCs w:val="20"/>
          <w:lang w:val="en-GB" w:eastAsia="en-US"/>
        </w:rPr>
        <w:lastRenderedPageBreak/>
        <w:t>Introduction</w:t>
      </w:r>
    </w:p>
    <w:p w14:paraId="17B1586D" w14:textId="79D7EBED" w:rsidR="00686B17" w:rsidRPr="00686B17" w:rsidRDefault="00686B17" w:rsidP="00686B17">
      <w:pPr>
        <w:spacing w:after="160" w:line="259" w:lineRule="auto"/>
        <w:jc w:val="both"/>
        <w:rPr>
          <w:rFonts w:ascii="Century Gothic" w:eastAsia="Calibri" w:hAnsi="Century Gothic" w:cs="Arial"/>
          <w:sz w:val="20"/>
          <w:szCs w:val="20"/>
          <w:lang w:val="en-GB" w:eastAsia="en-US"/>
        </w:rPr>
      </w:pPr>
      <w:r w:rsidRPr="00686B17">
        <w:rPr>
          <w:rFonts w:ascii="Century Gothic" w:eastAsia="Calibri" w:hAnsi="Century Gothic" w:cs="Arial"/>
          <w:sz w:val="20"/>
          <w:szCs w:val="20"/>
          <w:lang w:val="en-GB" w:eastAsia="en-US"/>
        </w:rPr>
        <w:t xml:space="preserve">The Municipality of </w:t>
      </w:r>
      <w:r w:rsidR="005932AF">
        <w:rPr>
          <w:rFonts w:ascii="Century Gothic" w:eastAsia="Calibri" w:hAnsi="Century Gothic" w:cs="Arial"/>
          <w:color w:val="ED7D31"/>
          <w:sz w:val="20"/>
          <w:szCs w:val="20"/>
          <w:lang w:val="en-GB" w:eastAsia="en-US"/>
        </w:rPr>
        <w:t>Vodnjan</w:t>
      </w:r>
      <w:r w:rsidRPr="00686B17">
        <w:rPr>
          <w:rFonts w:ascii="Century Gothic" w:eastAsia="Calibri" w:hAnsi="Century Gothic" w:cs="Arial"/>
          <w:sz w:val="20"/>
          <w:szCs w:val="20"/>
          <w:lang w:val="en-GB" w:eastAsia="en-US"/>
        </w:rPr>
        <w:t xml:space="preserve"> is located in </w:t>
      </w:r>
      <w:r w:rsidR="006A5CD3" w:rsidRPr="006A5CD3">
        <w:rPr>
          <w:rFonts w:ascii="Century Gothic" w:eastAsia="Calibri" w:hAnsi="Century Gothic" w:cs="Arial"/>
          <w:color w:val="ED7D31"/>
          <w:sz w:val="20"/>
          <w:szCs w:val="20"/>
          <w:lang w:val="en-GB" w:eastAsia="en-US"/>
        </w:rPr>
        <w:t>Istria, Croatia</w:t>
      </w:r>
      <w:r w:rsidRPr="00686B17">
        <w:rPr>
          <w:rFonts w:ascii="Century Gothic" w:eastAsia="Calibri" w:hAnsi="Century Gothic" w:cs="Arial"/>
          <w:sz w:val="20"/>
          <w:szCs w:val="20"/>
          <w:lang w:val="en-GB" w:eastAsia="en-US"/>
        </w:rPr>
        <w:t xml:space="preserve">. The area is </w:t>
      </w:r>
      <w:r w:rsidR="006A5CD3">
        <w:rPr>
          <w:rFonts w:ascii="Century Gothic" w:eastAsia="Calibri" w:hAnsi="Century Gothic" w:cs="Arial"/>
          <w:color w:val="ED7D31"/>
          <w:sz w:val="20"/>
          <w:szCs w:val="20"/>
          <w:lang w:val="en-GB" w:eastAsia="en-US"/>
        </w:rPr>
        <w:t>105</w:t>
      </w:r>
      <w:r w:rsidRPr="00686B17">
        <w:rPr>
          <w:rFonts w:ascii="Century Gothic" w:eastAsia="Calibri" w:hAnsi="Century Gothic" w:cs="Arial"/>
          <w:sz w:val="20"/>
          <w:szCs w:val="20"/>
          <w:lang w:val="en-GB" w:eastAsia="en-US"/>
        </w:rPr>
        <w:t xml:space="preserve"> </w:t>
      </w:r>
      <w:proofErr w:type="spellStart"/>
      <w:r w:rsidRPr="00686B17">
        <w:rPr>
          <w:rFonts w:ascii="Century Gothic" w:eastAsia="Calibri" w:hAnsi="Century Gothic" w:cs="Arial"/>
          <w:sz w:val="20"/>
          <w:szCs w:val="20"/>
          <w:lang w:val="en-GB" w:eastAsia="en-US"/>
        </w:rPr>
        <w:t>km</w:t>
      </w:r>
      <w:r w:rsidRPr="0040357A">
        <w:rPr>
          <w:rFonts w:ascii="Century Gothic" w:eastAsia="Calibri" w:hAnsi="Century Gothic" w:cs="Arial"/>
          <w:sz w:val="20"/>
          <w:szCs w:val="20"/>
          <w:vertAlign w:val="superscript"/>
          <w:lang w:val="en-GB" w:eastAsia="en-US"/>
        </w:rPr>
        <w:t>2</w:t>
      </w:r>
      <w:proofErr w:type="spellEnd"/>
      <w:r w:rsidRPr="00686B17">
        <w:rPr>
          <w:rFonts w:ascii="Century Gothic" w:eastAsia="Calibri" w:hAnsi="Century Gothic" w:cs="Arial"/>
          <w:sz w:val="20"/>
          <w:szCs w:val="20"/>
          <w:lang w:val="en-GB" w:eastAsia="en-US"/>
        </w:rPr>
        <w:t xml:space="preserve"> and the population </w:t>
      </w:r>
      <w:r w:rsidR="006A5CD3">
        <w:rPr>
          <w:rFonts w:ascii="Century Gothic" w:eastAsia="Calibri" w:hAnsi="Century Gothic" w:cs="Arial"/>
          <w:sz w:val="20"/>
          <w:szCs w:val="20"/>
          <w:lang w:val="en-GB" w:eastAsia="en-US"/>
        </w:rPr>
        <w:t>of</w:t>
      </w:r>
      <w:r w:rsidRPr="00686B17">
        <w:rPr>
          <w:rFonts w:ascii="Century Gothic" w:eastAsia="Calibri" w:hAnsi="Century Gothic" w:cs="Arial"/>
          <w:sz w:val="20"/>
          <w:szCs w:val="20"/>
          <w:lang w:val="en-GB" w:eastAsia="en-US"/>
        </w:rPr>
        <w:t xml:space="preserve"> </w:t>
      </w:r>
      <w:r w:rsidR="006A5CD3" w:rsidRPr="006A5CD3">
        <w:rPr>
          <w:rFonts w:ascii="Century Gothic" w:eastAsia="Calibri" w:hAnsi="Century Gothic" w:cs="Arial"/>
          <w:color w:val="ED7D31"/>
          <w:sz w:val="20"/>
          <w:szCs w:val="20"/>
          <w:lang w:val="en-GB" w:eastAsia="en-US"/>
        </w:rPr>
        <w:t>6119</w:t>
      </w:r>
      <w:r w:rsidR="006A5CD3">
        <w:rPr>
          <w:rFonts w:ascii="Century Gothic" w:eastAsia="Calibri" w:hAnsi="Century Gothic" w:cs="Arial"/>
          <w:color w:val="ED7D31"/>
          <w:sz w:val="20"/>
          <w:szCs w:val="20"/>
          <w:lang w:val="en-GB" w:eastAsia="en-US"/>
        </w:rPr>
        <w:t xml:space="preserve"> </w:t>
      </w:r>
      <w:r w:rsidR="006A5CD3" w:rsidRPr="006A5CD3">
        <w:rPr>
          <w:rFonts w:ascii="Century Gothic" w:eastAsia="Calibri" w:hAnsi="Century Gothic" w:cs="Arial"/>
          <w:color w:val="ED7D31"/>
          <w:sz w:val="20"/>
          <w:szCs w:val="20"/>
          <w:lang w:val="en-GB" w:eastAsia="en-US"/>
        </w:rPr>
        <w:t>inhabitants</w:t>
      </w:r>
      <w:r w:rsidR="006A5CD3">
        <w:rPr>
          <w:rFonts w:ascii="Century Gothic" w:eastAsia="Calibri" w:hAnsi="Century Gothic" w:cs="Arial"/>
          <w:color w:val="ED7D31"/>
          <w:sz w:val="20"/>
          <w:szCs w:val="20"/>
          <w:lang w:val="en-GB" w:eastAsia="en-US"/>
        </w:rPr>
        <w:t>.</w:t>
      </w:r>
      <w:r w:rsidRPr="00686B17">
        <w:rPr>
          <w:rFonts w:ascii="Century Gothic" w:eastAsia="Calibri" w:hAnsi="Century Gothic" w:cs="Arial"/>
          <w:sz w:val="20"/>
          <w:szCs w:val="20"/>
          <w:lang w:val="en-GB" w:eastAsia="en-US"/>
        </w:rPr>
        <w:t xml:space="preserve"> </w:t>
      </w:r>
    </w:p>
    <w:p w14:paraId="619D9BED" w14:textId="569F7F55" w:rsidR="00CF3BCE" w:rsidRDefault="00CF3BCE" w:rsidP="00686B17">
      <w:pPr>
        <w:spacing w:after="160" w:line="259" w:lineRule="auto"/>
        <w:jc w:val="both"/>
        <w:rPr>
          <w:rFonts w:ascii="Century Gothic" w:eastAsia="Calibri" w:hAnsi="Century Gothic" w:cs="Arial"/>
          <w:color w:val="ED7D31"/>
          <w:sz w:val="20"/>
          <w:szCs w:val="20"/>
          <w:lang w:val="en-GB" w:eastAsia="en-US"/>
        </w:rPr>
      </w:pPr>
      <w:r w:rsidRPr="00CF3BCE">
        <w:rPr>
          <w:rFonts w:ascii="Century Gothic" w:eastAsia="Calibri" w:hAnsi="Century Gothic" w:cs="Arial"/>
          <w:color w:val="ED7D31"/>
          <w:sz w:val="20"/>
          <w:szCs w:val="20"/>
          <w:lang w:val="en-GB" w:eastAsia="en-US"/>
        </w:rPr>
        <w:t>The territory is divided in 2 part: coastal zone (9 km of coast) and hinterland zone (rural)</w:t>
      </w:r>
      <w:r>
        <w:rPr>
          <w:rFonts w:ascii="Century Gothic" w:eastAsia="Calibri" w:hAnsi="Century Gothic" w:cs="Arial"/>
          <w:color w:val="ED7D31"/>
          <w:sz w:val="20"/>
          <w:szCs w:val="20"/>
          <w:lang w:val="en-GB" w:eastAsia="en-US"/>
        </w:rPr>
        <w:t>.</w:t>
      </w:r>
      <w:r w:rsidRPr="00CF3BCE">
        <w:t xml:space="preserve"> </w:t>
      </w:r>
      <w:r w:rsidRPr="00CF3BCE">
        <w:rPr>
          <w:rFonts w:ascii="Century Gothic" w:eastAsia="Calibri" w:hAnsi="Century Gothic" w:cs="Arial"/>
          <w:color w:val="ED7D31"/>
          <w:sz w:val="20"/>
          <w:szCs w:val="20"/>
          <w:lang w:val="en-GB" w:eastAsia="en-US"/>
        </w:rPr>
        <w:t xml:space="preserve">It is an area of ancient traditions developing on the remnants of the prehistoric </w:t>
      </w:r>
      <w:r w:rsidR="00673B89" w:rsidRPr="00CF3BCE">
        <w:rPr>
          <w:rFonts w:ascii="Century Gothic" w:eastAsia="Calibri" w:hAnsi="Century Gothic" w:cs="Arial"/>
          <w:color w:val="ED7D31"/>
          <w:sz w:val="20"/>
          <w:szCs w:val="20"/>
          <w:lang w:val="en-GB" w:eastAsia="en-US"/>
        </w:rPr>
        <w:t>forts, which</w:t>
      </w:r>
      <w:r w:rsidRPr="00CF3BCE">
        <w:rPr>
          <w:rFonts w:ascii="Century Gothic" w:eastAsia="Calibri" w:hAnsi="Century Gothic" w:cs="Arial"/>
          <w:color w:val="ED7D31"/>
          <w:sz w:val="20"/>
          <w:szCs w:val="20"/>
          <w:lang w:val="en-GB" w:eastAsia="en-US"/>
        </w:rPr>
        <w:t xml:space="preserve"> have existed in the wider area since ancient times. VODNJAN/DIGNANO managed to maintain its outstanding characteristics of a Medieval urban and rural centre, so that today it resembles a man with a rich history. Its wide area with innumerable characteristic </w:t>
      </w:r>
      <w:proofErr w:type="spellStart"/>
      <w:r w:rsidRPr="00CF3BCE">
        <w:rPr>
          <w:rFonts w:ascii="Century Gothic" w:eastAsia="Calibri" w:hAnsi="Century Gothic" w:cs="Arial"/>
          <w:color w:val="ED7D31"/>
          <w:sz w:val="20"/>
          <w:szCs w:val="20"/>
          <w:lang w:val="en-GB" w:eastAsia="en-US"/>
        </w:rPr>
        <w:t>kažuni</w:t>
      </w:r>
      <w:proofErr w:type="spellEnd"/>
      <w:r w:rsidRPr="00CF3BCE">
        <w:rPr>
          <w:rFonts w:ascii="Century Gothic" w:eastAsia="Calibri" w:hAnsi="Century Gothic" w:cs="Arial"/>
          <w:color w:val="ED7D31"/>
          <w:sz w:val="20"/>
          <w:szCs w:val="20"/>
          <w:lang w:val="en-GB" w:eastAsia="en-US"/>
        </w:rPr>
        <w:t xml:space="preserve"> or </w:t>
      </w:r>
      <w:proofErr w:type="spellStart"/>
      <w:r w:rsidRPr="00CF3BCE">
        <w:rPr>
          <w:rFonts w:ascii="Century Gothic" w:eastAsia="Calibri" w:hAnsi="Century Gothic" w:cs="Arial"/>
          <w:color w:val="ED7D31"/>
          <w:sz w:val="20"/>
          <w:szCs w:val="20"/>
          <w:lang w:val="en-GB" w:eastAsia="en-US"/>
        </w:rPr>
        <w:t>casite</w:t>
      </w:r>
      <w:proofErr w:type="spellEnd"/>
      <w:r w:rsidRPr="00CF3BCE">
        <w:rPr>
          <w:rFonts w:ascii="Century Gothic" w:eastAsia="Calibri" w:hAnsi="Century Gothic" w:cs="Arial"/>
          <w:color w:val="ED7D31"/>
          <w:sz w:val="20"/>
          <w:szCs w:val="20"/>
          <w:lang w:val="en-GB" w:eastAsia="en-US"/>
        </w:rPr>
        <w:t xml:space="preserve"> (little stone houses) built in the technique of dry-stone walls denoting property stands as witness to a millennium of its inhabitants being engaged in agriculture, especially olive-growing and wine-growing as the basis of their own material prosperity.</w:t>
      </w:r>
    </w:p>
    <w:p w14:paraId="7CCF7875" w14:textId="44A6C962" w:rsidR="00CF3BCE" w:rsidRDefault="00CF3BCE" w:rsidP="00686B17">
      <w:pPr>
        <w:spacing w:after="160" w:line="259" w:lineRule="auto"/>
        <w:jc w:val="both"/>
        <w:rPr>
          <w:rFonts w:ascii="Century Gothic" w:eastAsia="Calibri" w:hAnsi="Century Gothic" w:cs="Arial"/>
          <w:color w:val="ED7D31"/>
          <w:sz w:val="20"/>
          <w:szCs w:val="20"/>
          <w:lang w:val="en-GB" w:eastAsia="en-US"/>
        </w:rPr>
      </w:pPr>
      <w:r w:rsidRPr="00CF3BCE">
        <w:rPr>
          <w:rFonts w:ascii="Century Gothic" w:eastAsia="Calibri" w:hAnsi="Century Gothic" w:cs="Arial"/>
          <w:color w:val="ED7D31"/>
          <w:sz w:val="20"/>
          <w:szCs w:val="20"/>
          <w:lang w:val="en-GB" w:eastAsia="en-US"/>
        </w:rPr>
        <w:t xml:space="preserve">According to the legend, it developed out of the association of seven </w:t>
      </w:r>
      <w:r w:rsidR="00673B89" w:rsidRPr="00CF3BCE">
        <w:rPr>
          <w:rFonts w:ascii="Century Gothic" w:eastAsia="Calibri" w:hAnsi="Century Gothic" w:cs="Arial"/>
          <w:color w:val="ED7D31"/>
          <w:sz w:val="20"/>
          <w:szCs w:val="20"/>
          <w:lang w:val="en-GB" w:eastAsia="en-US"/>
        </w:rPr>
        <w:t>villas, which</w:t>
      </w:r>
      <w:r w:rsidRPr="00CF3BCE">
        <w:rPr>
          <w:rFonts w:ascii="Century Gothic" w:eastAsia="Calibri" w:hAnsi="Century Gothic" w:cs="Arial"/>
          <w:color w:val="ED7D31"/>
          <w:sz w:val="20"/>
          <w:szCs w:val="20"/>
          <w:lang w:val="en-GB" w:eastAsia="en-US"/>
        </w:rPr>
        <w:t xml:space="preserve"> were part of the colonial goods of Pula. VODNJAN/DIGNANO was known as early as Roman times as VICUS </w:t>
      </w:r>
      <w:proofErr w:type="spellStart"/>
      <w:r w:rsidRPr="00CF3BCE">
        <w:rPr>
          <w:rFonts w:ascii="Century Gothic" w:eastAsia="Calibri" w:hAnsi="Century Gothic" w:cs="Arial"/>
          <w:color w:val="ED7D31"/>
          <w:sz w:val="20"/>
          <w:szCs w:val="20"/>
          <w:lang w:val="en-GB" w:eastAsia="en-US"/>
        </w:rPr>
        <w:t>ATTINIANUM</w:t>
      </w:r>
      <w:proofErr w:type="spellEnd"/>
      <w:r w:rsidRPr="00CF3BCE">
        <w:rPr>
          <w:rFonts w:ascii="Century Gothic" w:eastAsia="Calibri" w:hAnsi="Century Gothic" w:cs="Arial"/>
          <w:color w:val="ED7D31"/>
          <w:sz w:val="20"/>
          <w:szCs w:val="20"/>
          <w:lang w:val="en-GB" w:eastAsia="en-US"/>
        </w:rPr>
        <w:t xml:space="preserve"> and listed in historical records in 932 at the time of Pietro </w:t>
      </w:r>
      <w:proofErr w:type="spellStart"/>
      <w:r w:rsidRPr="00CF3BCE">
        <w:rPr>
          <w:rFonts w:ascii="Century Gothic" w:eastAsia="Calibri" w:hAnsi="Century Gothic" w:cs="Arial"/>
          <w:color w:val="ED7D31"/>
          <w:sz w:val="20"/>
          <w:szCs w:val="20"/>
          <w:lang w:val="en-GB" w:eastAsia="en-US"/>
        </w:rPr>
        <w:t>Candiniano</w:t>
      </w:r>
      <w:proofErr w:type="spellEnd"/>
      <w:r w:rsidRPr="00CF3BCE">
        <w:rPr>
          <w:rFonts w:ascii="Century Gothic" w:eastAsia="Calibri" w:hAnsi="Century Gothic" w:cs="Arial"/>
          <w:color w:val="ED7D31"/>
          <w:sz w:val="20"/>
          <w:szCs w:val="20"/>
          <w:lang w:val="en-GB" w:eastAsia="en-US"/>
        </w:rPr>
        <w:t>, to whom the Istrian towns were giving amphorae of „good wine" in exchange of protection. Inside the historic nucleus, the town preserved its characteristic Medieval look with atria and narrow streets, irregularly winding among houses, with cobble roads and facades made of cobble stone, old streets still impressively recognizable by their Gothic, Venetian, Renaissance and Baroque style and many churches rich with memories and art. Among many, in the old town there is St. Jacob Church or "</w:t>
      </w:r>
      <w:proofErr w:type="spellStart"/>
      <w:r w:rsidRPr="00CF3BCE">
        <w:rPr>
          <w:rFonts w:ascii="Century Gothic" w:eastAsia="Calibri" w:hAnsi="Century Gothic" w:cs="Arial"/>
          <w:color w:val="ED7D31"/>
          <w:sz w:val="20"/>
          <w:szCs w:val="20"/>
          <w:lang w:val="en-GB" w:eastAsia="en-US"/>
        </w:rPr>
        <w:t>delle</w:t>
      </w:r>
      <w:proofErr w:type="spellEnd"/>
      <w:r w:rsidRPr="00CF3BCE">
        <w:rPr>
          <w:rFonts w:ascii="Century Gothic" w:eastAsia="Calibri" w:hAnsi="Century Gothic" w:cs="Arial"/>
          <w:color w:val="ED7D31"/>
          <w:sz w:val="20"/>
          <w:szCs w:val="20"/>
          <w:lang w:val="en-GB" w:eastAsia="en-US"/>
        </w:rPr>
        <w:t xml:space="preserve"> </w:t>
      </w:r>
      <w:proofErr w:type="spellStart"/>
      <w:r w:rsidRPr="00CF3BCE">
        <w:rPr>
          <w:rFonts w:ascii="Century Gothic" w:eastAsia="Calibri" w:hAnsi="Century Gothic" w:cs="Arial"/>
          <w:color w:val="ED7D31"/>
          <w:sz w:val="20"/>
          <w:szCs w:val="20"/>
          <w:lang w:val="en-GB" w:eastAsia="en-US"/>
        </w:rPr>
        <w:t>Trisiere</w:t>
      </w:r>
      <w:proofErr w:type="spellEnd"/>
      <w:r w:rsidRPr="00CF3BCE">
        <w:rPr>
          <w:rFonts w:ascii="Century Gothic" w:eastAsia="Calibri" w:hAnsi="Century Gothic" w:cs="Arial"/>
          <w:color w:val="ED7D31"/>
          <w:sz w:val="20"/>
          <w:szCs w:val="20"/>
          <w:lang w:val="en-GB" w:eastAsia="en-US"/>
        </w:rPr>
        <w:t>" that was designated as a parochial church as early as 1212, a church that witnessed some important historical events such as the peace agreement with Pula in 1331 and the writing of the Statute of 1492.</w:t>
      </w:r>
    </w:p>
    <w:p w14:paraId="1B24AC37" w14:textId="77777777" w:rsidR="00CF3BCE" w:rsidRDefault="00CF3BCE" w:rsidP="00686B17">
      <w:pPr>
        <w:spacing w:after="160" w:line="259" w:lineRule="auto"/>
        <w:jc w:val="both"/>
        <w:rPr>
          <w:rFonts w:ascii="Century Gothic" w:eastAsia="Calibri" w:hAnsi="Century Gothic" w:cs="Arial"/>
          <w:color w:val="548235"/>
          <w:sz w:val="20"/>
          <w:szCs w:val="20"/>
          <w:lang w:val="en-GB" w:eastAsia="en-US"/>
        </w:rPr>
      </w:pPr>
    </w:p>
    <w:p w14:paraId="616FE95E" w14:textId="27BE9D52" w:rsidR="00686B17" w:rsidRPr="00CF3BCE" w:rsidRDefault="00686B17" w:rsidP="00686B17">
      <w:pPr>
        <w:spacing w:after="160" w:line="259" w:lineRule="auto"/>
        <w:jc w:val="both"/>
        <w:rPr>
          <w:rFonts w:ascii="Century Gothic" w:eastAsia="Calibri" w:hAnsi="Century Gothic" w:cs="Arial"/>
          <w:color w:val="ED7D31"/>
          <w:sz w:val="20"/>
          <w:szCs w:val="20"/>
          <w:lang w:val="en-GB" w:eastAsia="en-US"/>
        </w:rPr>
      </w:pPr>
      <w:r w:rsidRPr="00686B17">
        <w:rPr>
          <w:rFonts w:ascii="Century Gothic" w:eastAsia="Calibri" w:hAnsi="Century Gothic" w:cs="Arial"/>
          <w:sz w:val="20"/>
          <w:szCs w:val="20"/>
          <w:lang w:val="en-GB" w:eastAsia="en-US"/>
        </w:rPr>
        <w:t xml:space="preserve">The vision is that </w:t>
      </w:r>
      <w:r w:rsidR="00CF3BCE" w:rsidRPr="00CF3BCE">
        <w:rPr>
          <w:rFonts w:ascii="Century Gothic" w:eastAsia="Calibri" w:hAnsi="Century Gothic" w:cs="Arial"/>
          <w:color w:val="ED7D31"/>
          <w:sz w:val="20"/>
          <w:szCs w:val="20"/>
          <w:lang w:val="en-GB" w:eastAsia="en-US"/>
        </w:rPr>
        <w:t>Municipality of Vodnjan will encourage the agricultural sector (as one of the most important local economic activity) to reduce CO2 emission with the conversion to more sustainable agricultural methods.</w:t>
      </w:r>
    </w:p>
    <w:p w14:paraId="1D58A7B9" w14:textId="066CA43A" w:rsidR="00686B17" w:rsidRPr="00686B17" w:rsidRDefault="00686B17" w:rsidP="00686B17">
      <w:pPr>
        <w:spacing w:after="160" w:line="259" w:lineRule="auto"/>
        <w:jc w:val="both"/>
        <w:rPr>
          <w:rFonts w:ascii="Century Gothic" w:eastAsia="Calibri" w:hAnsi="Century Gothic" w:cs="Arial"/>
          <w:sz w:val="20"/>
          <w:szCs w:val="20"/>
          <w:lang w:val="en-GB" w:eastAsia="en-US"/>
        </w:rPr>
      </w:pPr>
      <w:r w:rsidRPr="00686B17">
        <w:rPr>
          <w:rFonts w:ascii="Century Gothic" w:eastAsia="Calibri" w:hAnsi="Century Gothic" w:cs="Arial"/>
          <w:sz w:val="20"/>
          <w:szCs w:val="20"/>
          <w:lang w:val="en-GB" w:eastAsia="en-US"/>
        </w:rPr>
        <w:t xml:space="preserve">With a clear will to build </w:t>
      </w:r>
      <w:r w:rsidR="005668DE">
        <w:rPr>
          <w:rFonts w:ascii="Century Gothic" w:eastAsia="Calibri" w:hAnsi="Century Gothic" w:cs="Arial"/>
          <w:sz w:val="20"/>
          <w:szCs w:val="20"/>
          <w:lang w:val="en-GB" w:eastAsia="en-US"/>
        </w:rPr>
        <w:t xml:space="preserve">a </w:t>
      </w:r>
      <w:r w:rsidRPr="00686B17">
        <w:rPr>
          <w:rFonts w:ascii="Century Gothic" w:eastAsia="Calibri" w:hAnsi="Century Gothic" w:cs="Arial"/>
          <w:sz w:val="20"/>
          <w:szCs w:val="20"/>
          <w:lang w:val="en-GB" w:eastAsia="en-US"/>
        </w:rPr>
        <w:t xml:space="preserve">more sustainable, attractive, liveable, resilient and energy efficient territory, the </w:t>
      </w:r>
      <w:r w:rsidR="00CF3BCE" w:rsidRPr="00CF3BCE">
        <w:rPr>
          <w:rFonts w:ascii="Century Gothic" w:eastAsia="Calibri" w:hAnsi="Century Gothic" w:cs="Arial"/>
          <w:color w:val="ED7D31"/>
          <w:sz w:val="20"/>
          <w:szCs w:val="20"/>
          <w:lang w:val="en-GB" w:eastAsia="en-US"/>
        </w:rPr>
        <w:t xml:space="preserve">Municipality of Vodnjan </w:t>
      </w:r>
      <w:r w:rsidRPr="00686B17">
        <w:rPr>
          <w:rFonts w:ascii="Century Gothic" w:eastAsia="Calibri" w:hAnsi="Century Gothic" w:cs="Arial"/>
          <w:sz w:val="20"/>
          <w:szCs w:val="20"/>
          <w:lang w:val="en-GB" w:eastAsia="en-US"/>
        </w:rPr>
        <w:t>has committed to the following:</w:t>
      </w:r>
    </w:p>
    <w:p w14:paraId="00977CD7" w14:textId="77777777" w:rsidR="00CF3BCE" w:rsidRPr="001F0EF1" w:rsidRDefault="00CF3BCE" w:rsidP="00CF3BCE">
      <w:pPr>
        <w:pStyle w:val="Odlomakpopisa"/>
        <w:numPr>
          <w:ilvl w:val="0"/>
          <w:numId w:val="7"/>
        </w:numPr>
        <w:spacing w:after="160" w:line="259" w:lineRule="auto"/>
        <w:jc w:val="both"/>
        <w:rPr>
          <w:rFonts w:ascii="Century Gothic" w:eastAsia="Calibri" w:hAnsi="Century Gothic" w:cs="Arial"/>
          <w:color w:val="ED7D31"/>
          <w:sz w:val="20"/>
          <w:szCs w:val="20"/>
          <w:lang w:val="en-GB" w:eastAsia="en-US"/>
        </w:rPr>
      </w:pPr>
      <w:r w:rsidRPr="001F0EF1">
        <w:rPr>
          <w:rFonts w:ascii="Century Gothic" w:eastAsia="Calibri" w:hAnsi="Century Gothic" w:cs="Arial"/>
          <w:color w:val="ED7D31"/>
          <w:sz w:val="20"/>
          <w:szCs w:val="20"/>
          <w:lang w:val="en-GB" w:eastAsia="en-US"/>
        </w:rPr>
        <w:t>promotion of energy efficiency and renewable energy sources</w:t>
      </w:r>
    </w:p>
    <w:p w14:paraId="4E9CE719" w14:textId="77777777" w:rsidR="00CF3BCE" w:rsidRPr="001F0EF1" w:rsidRDefault="00CF3BCE" w:rsidP="00CF3BCE">
      <w:pPr>
        <w:pStyle w:val="Odlomakpopisa"/>
        <w:numPr>
          <w:ilvl w:val="0"/>
          <w:numId w:val="7"/>
        </w:numPr>
        <w:spacing w:after="160" w:line="259" w:lineRule="auto"/>
        <w:jc w:val="both"/>
        <w:rPr>
          <w:rFonts w:ascii="Century Gothic" w:eastAsia="Calibri" w:hAnsi="Century Gothic" w:cs="Arial"/>
          <w:color w:val="ED7D31"/>
          <w:sz w:val="20"/>
          <w:szCs w:val="20"/>
          <w:lang w:val="en-GB" w:eastAsia="en-US"/>
        </w:rPr>
      </w:pPr>
      <w:r w:rsidRPr="001F0EF1">
        <w:rPr>
          <w:rFonts w:ascii="Century Gothic" w:eastAsia="Calibri" w:hAnsi="Century Gothic" w:cs="Arial"/>
          <w:color w:val="ED7D31"/>
          <w:sz w:val="20"/>
          <w:szCs w:val="20"/>
          <w:lang w:val="en-GB" w:eastAsia="en-US"/>
        </w:rPr>
        <w:t>encouragement of sustainable measures for local community</w:t>
      </w:r>
    </w:p>
    <w:p w14:paraId="745A7D40" w14:textId="77777777" w:rsidR="00CF3BCE" w:rsidRPr="001F0EF1" w:rsidRDefault="00CF3BCE" w:rsidP="00CF3BCE">
      <w:pPr>
        <w:pStyle w:val="Odlomakpopisa"/>
        <w:numPr>
          <w:ilvl w:val="0"/>
          <w:numId w:val="7"/>
        </w:numPr>
        <w:spacing w:after="160" w:line="259" w:lineRule="auto"/>
        <w:jc w:val="both"/>
        <w:rPr>
          <w:rFonts w:ascii="Century Gothic" w:eastAsia="Calibri" w:hAnsi="Century Gothic" w:cs="Arial"/>
          <w:color w:val="ED7D31"/>
          <w:sz w:val="20"/>
          <w:szCs w:val="20"/>
          <w:lang w:val="en-GB" w:eastAsia="en-US"/>
        </w:rPr>
      </w:pPr>
      <w:r w:rsidRPr="001F0EF1">
        <w:rPr>
          <w:rFonts w:ascii="Century Gothic" w:eastAsia="Calibri" w:hAnsi="Century Gothic" w:cs="Arial"/>
          <w:color w:val="ED7D31"/>
          <w:sz w:val="20"/>
          <w:szCs w:val="20"/>
          <w:lang w:val="en-GB" w:eastAsia="en-US"/>
        </w:rPr>
        <w:t>capacity building and taking actions</w:t>
      </w:r>
    </w:p>
    <w:p w14:paraId="4E83FD61" w14:textId="77777777" w:rsidR="00CF3BCE" w:rsidRPr="001F0EF1" w:rsidRDefault="00CF3BCE" w:rsidP="00CF3BCE">
      <w:pPr>
        <w:pStyle w:val="Odlomakpopisa"/>
        <w:numPr>
          <w:ilvl w:val="0"/>
          <w:numId w:val="7"/>
        </w:numPr>
        <w:spacing w:after="160" w:line="259" w:lineRule="auto"/>
        <w:jc w:val="both"/>
        <w:rPr>
          <w:rFonts w:ascii="Century Gothic" w:eastAsia="Calibri" w:hAnsi="Century Gothic" w:cs="Arial"/>
          <w:color w:val="ED7D31"/>
          <w:sz w:val="20"/>
          <w:szCs w:val="20"/>
          <w:lang w:val="en-GB" w:eastAsia="en-US"/>
        </w:rPr>
      </w:pPr>
      <w:r w:rsidRPr="001F0EF1">
        <w:rPr>
          <w:rFonts w:ascii="Century Gothic" w:eastAsia="Calibri" w:hAnsi="Century Gothic" w:cs="Arial"/>
          <w:color w:val="ED7D31"/>
          <w:sz w:val="20"/>
          <w:szCs w:val="20"/>
          <w:lang w:val="en-GB" w:eastAsia="en-US"/>
        </w:rPr>
        <w:t>smart cities concept development</w:t>
      </w:r>
    </w:p>
    <w:p w14:paraId="3C47F736" w14:textId="0AA5C9A0" w:rsidR="00CF3BCE" w:rsidRPr="00CF3BCE" w:rsidRDefault="00CF3BCE" w:rsidP="00CF3BCE">
      <w:pPr>
        <w:pStyle w:val="Odlomakpopisa"/>
        <w:numPr>
          <w:ilvl w:val="0"/>
          <w:numId w:val="7"/>
        </w:numPr>
        <w:spacing w:after="160" w:line="259" w:lineRule="auto"/>
        <w:jc w:val="both"/>
        <w:rPr>
          <w:rFonts w:ascii="Century Gothic" w:eastAsia="Calibri" w:hAnsi="Century Gothic" w:cs="Arial"/>
          <w:color w:val="ED7D31"/>
          <w:sz w:val="20"/>
          <w:szCs w:val="20"/>
          <w:lang w:val="en-GB" w:eastAsia="en-US"/>
        </w:rPr>
      </w:pPr>
      <w:r w:rsidRPr="001F0EF1">
        <w:rPr>
          <w:rFonts w:ascii="Century Gothic" w:eastAsia="Calibri" w:hAnsi="Century Gothic" w:cs="Arial"/>
          <w:color w:val="ED7D31"/>
          <w:sz w:val="20"/>
          <w:szCs w:val="20"/>
          <w:lang w:val="en-GB" w:eastAsia="en-US"/>
        </w:rPr>
        <w:t>sustainable mobility development</w:t>
      </w:r>
    </w:p>
    <w:p w14:paraId="3B8DDB83" w14:textId="77777777" w:rsidR="00686B17" w:rsidRPr="00686B17" w:rsidRDefault="00686B17" w:rsidP="00686B17">
      <w:pPr>
        <w:spacing w:after="160" w:line="259" w:lineRule="auto"/>
        <w:rPr>
          <w:rFonts w:ascii="Century Gothic" w:eastAsia="Calibri" w:hAnsi="Century Gothic" w:cs="Arial"/>
          <w:sz w:val="20"/>
          <w:szCs w:val="20"/>
          <w:lang w:val="en-GB" w:eastAsia="en-US"/>
        </w:rPr>
      </w:pPr>
    </w:p>
    <w:p w14:paraId="4C2B0316" w14:textId="3709E128" w:rsidR="00686B17" w:rsidRPr="00A71159" w:rsidRDefault="00D87B81" w:rsidP="00686B17">
      <w:pPr>
        <w:spacing w:after="160" w:line="259" w:lineRule="auto"/>
        <w:rPr>
          <w:rFonts w:ascii="Century Gothic" w:eastAsia="Calibri" w:hAnsi="Century Gothic" w:cs="Arial"/>
          <w:sz w:val="20"/>
          <w:szCs w:val="20"/>
          <w:lang w:val="es-ES" w:eastAsia="en-US"/>
        </w:rPr>
      </w:pPr>
      <w:r w:rsidRPr="006836DF">
        <w:rPr>
          <w:rFonts w:ascii="Century Gothic" w:eastAsia="Calibri" w:hAnsi="Century Gothic" w:cs="Arial"/>
          <w:noProof/>
          <w:sz w:val="20"/>
          <w:szCs w:val="20"/>
          <w:lang w:val="en-US" w:eastAsia="en-US"/>
        </w:rPr>
        <w:lastRenderedPageBreak/>
        <w:drawing>
          <wp:inline distT="0" distB="0" distL="0" distR="0" wp14:anchorId="5399B2A5" wp14:editId="54A03B48">
            <wp:extent cx="5277485" cy="3074670"/>
            <wp:effectExtent l="38100" t="0" r="0" b="0"/>
            <wp:docPr id="2"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14:paraId="29223C4F" w14:textId="77777777" w:rsidR="00686B17" w:rsidRDefault="00686B17" w:rsidP="00686B17">
      <w:pPr>
        <w:spacing w:after="160" w:line="259" w:lineRule="auto"/>
        <w:jc w:val="both"/>
        <w:rPr>
          <w:rFonts w:ascii="Century Gothic" w:eastAsia="Calibri" w:hAnsi="Century Gothic"/>
          <w:b/>
          <w:color w:val="000000"/>
          <w:sz w:val="20"/>
          <w:szCs w:val="20"/>
          <w:lang w:val="en-US" w:eastAsia="en-US"/>
        </w:rPr>
      </w:pPr>
    </w:p>
    <w:p w14:paraId="217069F5" w14:textId="627E27E8" w:rsidR="00686B17" w:rsidRPr="00855AB5" w:rsidRDefault="00686B17" w:rsidP="00686B17">
      <w:pPr>
        <w:spacing w:after="160" w:line="259" w:lineRule="auto"/>
        <w:jc w:val="both"/>
        <w:rPr>
          <w:rFonts w:ascii="Century Gothic" w:eastAsia="Calibri" w:hAnsi="Century Gothic"/>
          <w:b/>
          <w:sz w:val="20"/>
          <w:szCs w:val="20"/>
          <w:lang w:val="hr-HR" w:eastAsia="en-US"/>
        </w:rPr>
      </w:pPr>
      <w:r w:rsidRPr="00855AB5">
        <w:rPr>
          <w:rFonts w:ascii="Century Gothic" w:eastAsia="Calibri" w:hAnsi="Century Gothic"/>
          <w:b/>
          <w:sz w:val="20"/>
          <w:szCs w:val="20"/>
          <w:lang w:val="en-US" w:eastAsia="en-US"/>
        </w:rPr>
        <w:t>(MITIGATION part)</w:t>
      </w:r>
    </w:p>
    <w:p w14:paraId="709DABE0" w14:textId="77777777" w:rsidR="00686B17" w:rsidRPr="00686B17" w:rsidRDefault="00686B17" w:rsidP="00686B17">
      <w:pPr>
        <w:spacing w:after="160" w:line="259" w:lineRule="auto"/>
        <w:jc w:val="both"/>
        <w:rPr>
          <w:rFonts w:ascii="Century Gothic" w:eastAsia="Calibri" w:hAnsi="Century Gothic"/>
          <w:b/>
          <w:color w:val="000000"/>
          <w:sz w:val="20"/>
          <w:szCs w:val="20"/>
          <w:lang w:val="en-US" w:eastAsia="en-US"/>
        </w:rPr>
      </w:pPr>
      <w:r w:rsidRPr="00686B17">
        <w:rPr>
          <w:rFonts w:ascii="Century Gothic" w:eastAsia="Calibri" w:hAnsi="Century Gothic"/>
          <w:b/>
          <w:color w:val="000000"/>
          <w:sz w:val="20"/>
          <w:szCs w:val="20"/>
          <w:lang w:val="en-US" w:eastAsia="en-US"/>
        </w:rPr>
        <w:t>Emission inventory approach</w:t>
      </w:r>
    </w:p>
    <w:p w14:paraId="6BD7A257" w14:textId="77777777" w:rsidR="00686B17" w:rsidRPr="006836DF" w:rsidRDefault="00686B17" w:rsidP="00686B17">
      <w:pPr>
        <w:spacing w:after="160" w:line="259" w:lineRule="auto"/>
        <w:jc w:val="both"/>
        <w:rPr>
          <w:rFonts w:ascii="Century Gothic" w:eastAsia="Calibri" w:hAnsi="Century Gothic"/>
          <w:b/>
          <w:color w:val="548235"/>
          <w:sz w:val="20"/>
          <w:szCs w:val="20"/>
          <w:lang w:val="en-US" w:eastAsia="en-US"/>
        </w:rPr>
      </w:pPr>
      <w:r w:rsidRPr="006836DF">
        <w:rPr>
          <w:rFonts w:ascii="Century Gothic" w:eastAsia="Calibri" w:hAnsi="Century Gothic"/>
          <w:b/>
          <w:color w:val="548235"/>
          <w:sz w:val="20"/>
          <w:szCs w:val="20"/>
          <w:lang w:val="en-US" w:eastAsia="en-US"/>
        </w:rPr>
        <w:t>Monitoring Emission</w:t>
      </w:r>
      <w:r w:rsidR="00EA3F01">
        <w:rPr>
          <w:rFonts w:ascii="Century Gothic" w:eastAsia="Calibri" w:hAnsi="Century Gothic"/>
          <w:b/>
          <w:color w:val="548235"/>
          <w:sz w:val="20"/>
          <w:szCs w:val="20"/>
          <w:lang w:val="en-US" w:eastAsia="en-US"/>
        </w:rPr>
        <w:t>s</w:t>
      </w:r>
      <w:r w:rsidRPr="006836DF">
        <w:rPr>
          <w:rFonts w:ascii="Century Gothic" w:eastAsia="Calibri" w:hAnsi="Century Gothic"/>
          <w:b/>
          <w:color w:val="548235"/>
          <w:sz w:val="20"/>
          <w:szCs w:val="20"/>
          <w:lang w:val="en-US" w:eastAsia="en-US"/>
        </w:rPr>
        <w:t xml:space="preserve"> </w:t>
      </w:r>
    </w:p>
    <w:p w14:paraId="4A7BC816" w14:textId="6E4FF2CF" w:rsidR="00686B17" w:rsidRDefault="00686B17" w:rsidP="00686B17">
      <w:pPr>
        <w:spacing w:after="160" w:line="259" w:lineRule="auto"/>
        <w:jc w:val="both"/>
        <w:rPr>
          <w:rFonts w:ascii="Century Gothic" w:eastAsia="Calibri" w:hAnsi="Century Gothic" w:cs="Arial"/>
          <w:color w:val="548235"/>
          <w:sz w:val="20"/>
          <w:szCs w:val="20"/>
          <w:lang w:val="en-GB" w:eastAsia="en-US"/>
        </w:rPr>
      </w:pPr>
      <w:r w:rsidRPr="006836DF">
        <w:rPr>
          <w:rFonts w:ascii="Century Gothic" w:eastAsia="Calibri" w:hAnsi="Century Gothic"/>
          <w:color w:val="548235"/>
          <w:sz w:val="20"/>
          <w:szCs w:val="20"/>
          <w:lang w:val="en-US" w:eastAsia="en-US"/>
        </w:rPr>
        <w:t>The</w:t>
      </w:r>
      <w:r w:rsidRPr="00686B17">
        <w:rPr>
          <w:rFonts w:ascii="Century Gothic" w:eastAsia="Calibri" w:hAnsi="Century Gothic"/>
          <w:color w:val="000000"/>
          <w:sz w:val="20"/>
          <w:szCs w:val="20"/>
          <w:lang w:val="en-US" w:eastAsia="en-US"/>
        </w:rPr>
        <w:t xml:space="preserve"> </w:t>
      </w:r>
      <w:r w:rsidR="00855AB5">
        <w:rPr>
          <w:rFonts w:ascii="Century Gothic" w:eastAsia="Calibri" w:hAnsi="Century Gothic" w:cs="Arial"/>
          <w:color w:val="ED7D31"/>
          <w:sz w:val="20"/>
          <w:szCs w:val="20"/>
          <w:lang w:val="en-GB" w:eastAsia="en-US"/>
        </w:rPr>
        <w:t>Municipality of Vodnjan - Dignano</w:t>
      </w:r>
      <w:r w:rsidRPr="00686B17">
        <w:rPr>
          <w:rFonts w:ascii="Century Gothic" w:eastAsia="Calibri" w:hAnsi="Century Gothic" w:cs="Arial"/>
          <w:color w:val="ED7D31"/>
          <w:sz w:val="20"/>
          <w:szCs w:val="20"/>
          <w:lang w:val="en-GB" w:eastAsia="en-US"/>
        </w:rPr>
        <w:t xml:space="preserve">, </w:t>
      </w:r>
      <w:r w:rsidRPr="006836DF">
        <w:rPr>
          <w:rFonts w:ascii="Century Gothic" w:eastAsia="Calibri" w:hAnsi="Century Gothic" w:cs="Arial"/>
          <w:color w:val="548235"/>
          <w:sz w:val="20"/>
          <w:szCs w:val="20"/>
          <w:lang w:val="en-GB" w:eastAsia="en-US"/>
        </w:rPr>
        <w:t>as a</w:t>
      </w:r>
      <w:r w:rsidR="00855AB5">
        <w:rPr>
          <w:rFonts w:ascii="Century Gothic" w:eastAsia="Calibri" w:hAnsi="Century Gothic" w:cs="Arial"/>
          <w:color w:val="548235"/>
          <w:sz w:val="20"/>
          <w:szCs w:val="20"/>
          <w:lang w:val="en-GB" w:eastAsia="en-US"/>
        </w:rPr>
        <w:t xml:space="preserve"> new</w:t>
      </w:r>
      <w:r w:rsidRPr="006836DF">
        <w:rPr>
          <w:rFonts w:ascii="Century Gothic" w:eastAsia="Calibri" w:hAnsi="Century Gothic" w:cs="Arial"/>
          <w:color w:val="548235"/>
          <w:sz w:val="20"/>
          <w:szCs w:val="20"/>
          <w:lang w:val="en-GB" w:eastAsia="en-US"/>
        </w:rPr>
        <w:t xml:space="preserve"> member of the CoM Initiative </w:t>
      </w:r>
      <w:r w:rsidR="00855AB5">
        <w:rPr>
          <w:rFonts w:ascii="Century Gothic" w:eastAsia="Calibri" w:hAnsi="Century Gothic" w:cs="Arial"/>
          <w:color w:val="548235"/>
          <w:sz w:val="20"/>
          <w:szCs w:val="20"/>
          <w:lang w:val="en-GB" w:eastAsia="en-US"/>
        </w:rPr>
        <w:t xml:space="preserve">developed a Baseline Emissions Inventory (BEI) </w:t>
      </w:r>
      <w:r w:rsidRPr="006836DF">
        <w:rPr>
          <w:rFonts w:ascii="Century Gothic" w:eastAsia="Calibri" w:hAnsi="Century Gothic" w:cs="Arial"/>
          <w:color w:val="548235"/>
          <w:sz w:val="20"/>
          <w:szCs w:val="20"/>
          <w:lang w:val="en-GB" w:eastAsia="en-US"/>
        </w:rPr>
        <w:t xml:space="preserve">in order to evaluate the progress of the actions’ implementation, the achievements made </w:t>
      </w:r>
      <w:r w:rsidR="00855AB5">
        <w:rPr>
          <w:rFonts w:ascii="Century Gothic" w:eastAsia="Calibri" w:hAnsi="Century Gothic" w:cs="Arial"/>
          <w:color w:val="548235"/>
          <w:sz w:val="20"/>
          <w:szCs w:val="20"/>
          <w:lang w:val="en-GB" w:eastAsia="en-US"/>
        </w:rPr>
        <w:t xml:space="preserve">in the future </w:t>
      </w:r>
      <w:r w:rsidRPr="006836DF">
        <w:rPr>
          <w:rFonts w:ascii="Century Gothic" w:eastAsia="Calibri" w:hAnsi="Century Gothic" w:cs="Arial"/>
          <w:color w:val="548235"/>
          <w:sz w:val="20"/>
          <w:szCs w:val="20"/>
          <w:lang w:val="en-GB" w:eastAsia="en-US"/>
        </w:rPr>
        <w:t>so and define the necessary corrective a</w:t>
      </w:r>
      <w:r w:rsidR="00855AB5">
        <w:rPr>
          <w:rFonts w:ascii="Century Gothic" w:eastAsia="Calibri" w:hAnsi="Century Gothic" w:cs="Arial"/>
          <w:color w:val="548235"/>
          <w:sz w:val="20"/>
          <w:szCs w:val="20"/>
          <w:lang w:val="en-GB" w:eastAsia="en-US"/>
        </w:rPr>
        <w:t>ctions in case they are needed.</w:t>
      </w:r>
    </w:p>
    <w:p w14:paraId="70C88F57" w14:textId="3A7F1908" w:rsidR="007F4CE1" w:rsidRDefault="00EB2C27" w:rsidP="00855AB5">
      <w:pPr>
        <w:keepNext/>
        <w:spacing w:line="240" w:lineRule="auto"/>
        <w:jc w:val="both"/>
        <w:rPr>
          <w:rFonts w:ascii="Century Gothic" w:eastAsia="Calibri" w:hAnsi="Century Gothic"/>
          <w:i/>
          <w:iCs/>
          <w:color w:val="44546A"/>
          <w:sz w:val="18"/>
          <w:szCs w:val="18"/>
          <w:lang w:val="en-US" w:eastAsia="en-US"/>
        </w:rPr>
      </w:pPr>
      <w:r>
        <w:rPr>
          <w:noProof/>
          <w:lang w:val="en-US" w:eastAsia="en-US"/>
        </w:rPr>
        <w:lastRenderedPageBreak/>
        <w:drawing>
          <wp:inline distT="0" distB="0" distL="0" distR="0" wp14:anchorId="38F01C20" wp14:editId="221FE85F">
            <wp:extent cx="5654040" cy="2880360"/>
            <wp:effectExtent l="0" t="0" r="3810" b="1524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6E1030C8" w14:textId="77777777" w:rsidR="00EB2C27" w:rsidRPr="001E01C6" w:rsidRDefault="00EB2C27" w:rsidP="00EB2C27">
      <w:pPr>
        <w:keepNext/>
        <w:spacing w:line="240" w:lineRule="auto"/>
        <w:jc w:val="both"/>
        <w:rPr>
          <w:rFonts w:ascii="Century Gothic" w:eastAsia="Calibri" w:hAnsi="Century Gothic"/>
          <w:i/>
          <w:iCs/>
          <w:color w:val="44546A"/>
          <w:sz w:val="18"/>
          <w:szCs w:val="18"/>
          <w:lang w:val="en-US" w:eastAsia="en-US"/>
        </w:rPr>
      </w:pPr>
      <w:r w:rsidRPr="001E01C6">
        <w:rPr>
          <w:rFonts w:ascii="Century Gothic" w:eastAsia="Calibri" w:hAnsi="Century Gothic"/>
          <w:i/>
          <w:iCs/>
          <w:color w:val="44546A"/>
          <w:sz w:val="18"/>
          <w:szCs w:val="18"/>
          <w:lang w:val="en-US" w:eastAsia="en-US"/>
        </w:rPr>
        <w:t xml:space="preserve">Figure </w:t>
      </w:r>
      <w:r w:rsidRPr="001E01C6">
        <w:rPr>
          <w:rFonts w:ascii="Century Gothic" w:eastAsia="Calibri" w:hAnsi="Century Gothic"/>
          <w:i/>
          <w:iCs/>
          <w:color w:val="44546A"/>
          <w:sz w:val="18"/>
          <w:szCs w:val="18"/>
          <w:lang w:val="en-US" w:eastAsia="en-US"/>
        </w:rPr>
        <w:fldChar w:fldCharType="begin"/>
      </w:r>
      <w:r w:rsidRPr="001E01C6">
        <w:rPr>
          <w:rFonts w:ascii="Century Gothic" w:eastAsia="Calibri" w:hAnsi="Century Gothic"/>
          <w:i/>
          <w:iCs/>
          <w:color w:val="44546A"/>
          <w:sz w:val="18"/>
          <w:szCs w:val="18"/>
          <w:lang w:val="en-US" w:eastAsia="en-US"/>
        </w:rPr>
        <w:instrText xml:space="preserve"> SEQ Figure \* ARABIC </w:instrText>
      </w:r>
      <w:r w:rsidRPr="001E01C6">
        <w:rPr>
          <w:rFonts w:ascii="Century Gothic" w:eastAsia="Calibri" w:hAnsi="Century Gothic"/>
          <w:i/>
          <w:iCs/>
          <w:color w:val="44546A"/>
          <w:sz w:val="18"/>
          <w:szCs w:val="18"/>
          <w:lang w:val="en-US" w:eastAsia="en-US"/>
        </w:rPr>
        <w:fldChar w:fldCharType="separate"/>
      </w:r>
      <w:r>
        <w:rPr>
          <w:rFonts w:ascii="Century Gothic" w:eastAsia="Calibri" w:hAnsi="Century Gothic"/>
          <w:i/>
          <w:iCs/>
          <w:noProof/>
          <w:color w:val="44546A"/>
          <w:sz w:val="18"/>
          <w:szCs w:val="18"/>
          <w:lang w:val="en-US" w:eastAsia="en-US"/>
        </w:rPr>
        <w:t>1</w:t>
      </w:r>
      <w:r w:rsidRPr="001E01C6">
        <w:rPr>
          <w:rFonts w:ascii="Century Gothic" w:eastAsia="Calibri" w:hAnsi="Century Gothic"/>
          <w:i/>
          <w:iCs/>
          <w:color w:val="44546A"/>
          <w:sz w:val="18"/>
          <w:szCs w:val="18"/>
          <w:lang w:val="en-US" w:eastAsia="en-US"/>
        </w:rPr>
        <w:fldChar w:fldCharType="end"/>
      </w:r>
      <w:r w:rsidRPr="001E01C6">
        <w:rPr>
          <w:rFonts w:ascii="Century Gothic" w:eastAsia="Calibri" w:hAnsi="Century Gothic"/>
          <w:i/>
          <w:iCs/>
          <w:color w:val="44546A"/>
          <w:sz w:val="18"/>
          <w:szCs w:val="18"/>
          <w:lang w:val="en-US" w:eastAsia="en-US"/>
        </w:rPr>
        <w:t>. Status of implementation of actions</w:t>
      </w:r>
    </w:p>
    <w:p w14:paraId="7E2C5CCB" w14:textId="518B944B" w:rsidR="00EB2C27" w:rsidRDefault="00EB2C27" w:rsidP="00EB2C27">
      <w:pPr>
        <w:spacing w:after="160" w:line="259" w:lineRule="auto"/>
        <w:jc w:val="both"/>
        <w:rPr>
          <w:rFonts w:ascii="Century Gothic" w:eastAsia="Calibri" w:hAnsi="Century Gothic" w:cs="Arial"/>
          <w:color w:val="548235"/>
          <w:sz w:val="20"/>
          <w:szCs w:val="20"/>
          <w:lang w:val="en-GB" w:eastAsia="en-US"/>
        </w:rPr>
      </w:pPr>
      <w:r>
        <w:rPr>
          <w:noProof/>
          <w:lang w:val="en-US" w:eastAsia="en-US"/>
        </w:rPr>
        <w:drawing>
          <wp:inline distT="0" distB="0" distL="0" distR="0" wp14:anchorId="72C4DA1C" wp14:editId="2609B885">
            <wp:extent cx="5638800" cy="1341120"/>
            <wp:effectExtent l="0" t="0" r="0" b="1143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06F0C692" w14:textId="77777777" w:rsidR="00EB2C27" w:rsidRPr="001E01C6" w:rsidRDefault="00EB2C27" w:rsidP="00EB2C27">
      <w:pPr>
        <w:keepNext/>
        <w:spacing w:line="240" w:lineRule="auto"/>
        <w:jc w:val="both"/>
        <w:rPr>
          <w:rFonts w:ascii="Century Gothic" w:eastAsia="Calibri" w:hAnsi="Century Gothic"/>
          <w:i/>
          <w:iCs/>
          <w:color w:val="44546A"/>
          <w:sz w:val="18"/>
          <w:szCs w:val="18"/>
          <w:lang w:val="en-US" w:eastAsia="en-US"/>
        </w:rPr>
      </w:pPr>
      <w:r w:rsidRPr="001E01C6">
        <w:rPr>
          <w:rFonts w:ascii="Century Gothic" w:eastAsia="Calibri" w:hAnsi="Century Gothic"/>
          <w:i/>
          <w:iCs/>
          <w:color w:val="44546A"/>
          <w:sz w:val="18"/>
          <w:szCs w:val="18"/>
          <w:lang w:val="en-US" w:eastAsia="en-US"/>
        </w:rPr>
        <w:t xml:space="preserve">Figure </w:t>
      </w:r>
      <w:r w:rsidRPr="001E01C6">
        <w:rPr>
          <w:rFonts w:ascii="Century Gothic" w:eastAsia="Calibri" w:hAnsi="Century Gothic"/>
          <w:i/>
          <w:iCs/>
          <w:color w:val="44546A"/>
          <w:sz w:val="18"/>
          <w:szCs w:val="18"/>
          <w:lang w:val="en-US" w:eastAsia="en-US"/>
        </w:rPr>
        <w:fldChar w:fldCharType="begin"/>
      </w:r>
      <w:r w:rsidRPr="001E01C6">
        <w:rPr>
          <w:rFonts w:ascii="Century Gothic" w:eastAsia="Calibri" w:hAnsi="Century Gothic"/>
          <w:i/>
          <w:iCs/>
          <w:color w:val="44546A"/>
          <w:sz w:val="18"/>
          <w:szCs w:val="18"/>
          <w:lang w:val="en-US" w:eastAsia="en-US"/>
        </w:rPr>
        <w:instrText xml:space="preserve"> SEQ Figure \* ARABIC </w:instrText>
      </w:r>
      <w:r w:rsidRPr="001E01C6">
        <w:rPr>
          <w:rFonts w:ascii="Century Gothic" w:eastAsia="Calibri" w:hAnsi="Century Gothic"/>
          <w:i/>
          <w:iCs/>
          <w:color w:val="44546A"/>
          <w:sz w:val="18"/>
          <w:szCs w:val="18"/>
          <w:lang w:val="en-US" w:eastAsia="en-US"/>
        </w:rPr>
        <w:fldChar w:fldCharType="separate"/>
      </w:r>
      <w:r>
        <w:rPr>
          <w:rFonts w:ascii="Century Gothic" w:eastAsia="Calibri" w:hAnsi="Century Gothic"/>
          <w:i/>
          <w:iCs/>
          <w:noProof/>
          <w:color w:val="44546A"/>
          <w:sz w:val="18"/>
          <w:szCs w:val="18"/>
          <w:lang w:val="en-US" w:eastAsia="en-US"/>
        </w:rPr>
        <w:t>2</w:t>
      </w:r>
      <w:r w:rsidRPr="001E01C6">
        <w:rPr>
          <w:rFonts w:ascii="Century Gothic" w:eastAsia="Calibri" w:hAnsi="Century Gothic"/>
          <w:i/>
          <w:iCs/>
          <w:color w:val="44546A"/>
          <w:sz w:val="18"/>
          <w:szCs w:val="18"/>
          <w:lang w:val="en-US" w:eastAsia="en-US"/>
        </w:rPr>
        <w:fldChar w:fldCharType="end"/>
      </w:r>
      <w:r w:rsidRPr="001E01C6">
        <w:rPr>
          <w:rFonts w:ascii="Century Gothic" w:eastAsia="Calibri" w:hAnsi="Century Gothic"/>
          <w:i/>
          <w:iCs/>
          <w:color w:val="44546A"/>
          <w:sz w:val="18"/>
          <w:szCs w:val="18"/>
          <w:lang w:val="en-US" w:eastAsia="en-US"/>
        </w:rPr>
        <w:t>. Overall budget spent</w:t>
      </w:r>
    </w:p>
    <w:p w14:paraId="5DFE7507" w14:textId="30E2062D" w:rsidR="00EB2C27" w:rsidRDefault="00EB2C27" w:rsidP="00EB2C27">
      <w:pPr>
        <w:rPr>
          <w:rFonts w:eastAsia="Calibri"/>
          <w:lang w:val="hr-HR"/>
        </w:rPr>
      </w:pPr>
      <w:r>
        <w:rPr>
          <w:noProof/>
          <w:lang w:val="en-US" w:eastAsia="en-US"/>
        </w:rPr>
        <w:drawing>
          <wp:inline distT="0" distB="0" distL="0" distR="0" wp14:anchorId="6A13C6A2" wp14:editId="322BCF34">
            <wp:extent cx="5692140" cy="2689860"/>
            <wp:effectExtent l="0" t="0" r="3810" b="1524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5DC6AE8" w14:textId="77777777" w:rsidR="00EB2C27" w:rsidRPr="001E01C6" w:rsidRDefault="00EB2C27" w:rsidP="00EB2C27">
      <w:pPr>
        <w:keepNext/>
        <w:spacing w:line="240" w:lineRule="auto"/>
        <w:jc w:val="both"/>
        <w:rPr>
          <w:rFonts w:ascii="Century Gothic" w:eastAsia="Calibri" w:hAnsi="Century Gothic"/>
          <w:i/>
          <w:iCs/>
          <w:color w:val="44546A"/>
          <w:sz w:val="18"/>
          <w:szCs w:val="18"/>
          <w:lang w:val="en-US" w:eastAsia="en-US"/>
        </w:rPr>
      </w:pPr>
      <w:r w:rsidRPr="001E01C6">
        <w:rPr>
          <w:rFonts w:ascii="Century Gothic" w:eastAsia="Calibri" w:hAnsi="Century Gothic"/>
          <w:i/>
          <w:iCs/>
          <w:color w:val="44546A"/>
          <w:sz w:val="18"/>
          <w:szCs w:val="18"/>
          <w:lang w:val="en-US" w:eastAsia="en-US"/>
        </w:rPr>
        <w:lastRenderedPageBreak/>
        <w:t xml:space="preserve">Figure </w:t>
      </w:r>
      <w:r w:rsidRPr="001E01C6">
        <w:rPr>
          <w:rFonts w:ascii="Century Gothic" w:eastAsia="Calibri" w:hAnsi="Century Gothic"/>
          <w:i/>
          <w:iCs/>
          <w:color w:val="44546A"/>
          <w:sz w:val="18"/>
          <w:szCs w:val="18"/>
          <w:lang w:val="en-US" w:eastAsia="en-US"/>
        </w:rPr>
        <w:fldChar w:fldCharType="begin"/>
      </w:r>
      <w:r w:rsidRPr="001E01C6">
        <w:rPr>
          <w:rFonts w:ascii="Century Gothic" w:eastAsia="Calibri" w:hAnsi="Century Gothic"/>
          <w:i/>
          <w:iCs/>
          <w:color w:val="44546A"/>
          <w:sz w:val="18"/>
          <w:szCs w:val="18"/>
          <w:lang w:val="en-US" w:eastAsia="en-US"/>
        </w:rPr>
        <w:instrText xml:space="preserve"> SEQ Figure \* ARABIC </w:instrText>
      </w:r>
      <w:r w:rsidRPr="001E01C6">
        <w:rPr>
          <w:rFonts w:ascii="Century Gothic" w:eastAsia="Calibri" w:hAnsi="Century Gothic"/>
          <w:i/>
          <w:iCs/>
          <w:color w:val="44546A"/>
          <w:sz w:val="18"/>
          <w:szCs w:val="18"/>
          <w:lang w:val="en-US" w:eastAsia="en-US"/>
        </w:rPr>
        <w:fldChar w:fldCharType="separate"/>
      </w:r>
      <w:r>
        <w:rPr>
          <w:rFonts w:ascii="Century Gothic" w:eastAsia="Calibri" w:hAnsi="Century Gothic"/>
          <w:i/>
          <w:iCs/>
          <w:noProof/>
          <w:color w:val="44546A"/>
          <w:sz w:val="18"/>
          <w:szCs w:val="18"/>
          <w:lang w:val="en-US" w:eastAsia="en-US"/>
        </w:rPr>
        <w:t>3</w:t>
      </w:r>
      <w:r w:rsidRPr="001E01C6">
        <w:rPr>
          <w:rFonts w:ascii="Century Gothic" w:eastAsia="Calibri" w:hAnsi="Century Gothic"/>
          <w:i/>
          <w:iCs/>
          <w:color w:val="44546A"/>
          <w:sz w:val="18"/>
          <w:szCs w:val="18"/>
          <w:lang w:val="en-US" w:eastAsia="en-US"/>
        </w:rPr>
        <w:fldChar w:fldCharType="end"/>
      </w:r>
      <w:r w:rsidRPr="001E01C6">
        <w:rPr>
          <w:rFonts w:ascii="Century Gothic" w:eastAsia="Calibri" w:hAnsi="Century Gothic"/>
          <w:i/>
          <w:iCs/>
          <w:color w:val="44546A"/>
          <w:sz w:val="18"/>
          <w:szCs w:val="18"/>
          <w:lang w:val="en-US" w:eastAsia="en-US"/>
        </w:rPr>
        <w:t>. Estimated greenhouse gas emissions reduction according to the implementation status of the actions</w:t>
      </w:r>
    </w:p>
    <w:p w14:paraId="73FE0631" w14:textId="17B123D3" w:rsidR="00EB2C27" w:rsidRDefault="00EB2C27" w:rsidP="00EB2C27">
      <w:pPr>
        <w:rPr>
          <w:rFonts w:eastAsia="Calibri"/>
          <w:lang w:val="hr-HR"/>
        </w:rPr>
      </w:pPr>
      <w:r>
        <w:rPr>
          <w:noProof/>
          <w:lang w:val="en-US" w:eastAsia="en-US"/>
        </w:rPr>
        <w:drawing>
          <wp:inline distT="0" distB="0" distL="0" distR="0" wp14:anchorId="01B80815" wp14:editId="6BF0F6FB">
            <wp:extent cx="5788025" cy="2137410"/>
            <wp:effectExtent l="0" t="0" r="3175" b="15240"/>
            <wp:docPr id="22" name="Chart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34083AD" w14:textId="77777777" w:rsidR="00EB2C27" w:rsidRPr="001E01C6" w:rsidRDefault="00EB2C27" w:rsidP="00EB2C27">
      <w:pPr>
        <w:keepNext/>
        <w:spacing w:line="240" w:lineRule="auto"/>
        <w:jc w:val="both"/>
        <w:rPr>
          <w:rFonts w:ascii="Century Gothic" w:eastAsia="Calibri" w:hAnsi="Century Gothic"/>
          <w:i/>
          <w:iCs/>
          <w:color w:val="44546A"/>
          <w:sz w:val="18"/>
          <w:szCs w:val="18"/>
          <w:lang w:val="en-US" w:eastAsia="en-US"/>
        </w:rPr>
      </w:pPr>
      <w:r w:rsidRPr="001E01C6">
        <w:rPr>
          <w:rFonts w:ascii="Century Gothic" w:eastAsia="Calibri" w:hAnsi="Century Gothic"/>
          <w:i/>
          <w:iCs/>
          <w:color w:val="44546A"/>
          <w:sz w:val="18"/>
          <w:szCs w:val="18"/>
          <w:lang w:val="en-US" w:eastAsia="en-US"/>
        </w:rPr>
        <w:t xml:space="preserve">Figure </w:t>
      </w:r>
      <w:r w:rsidRPr="001E01C6">
        <w:rPr>
          <w:rFonts w:ascii="Century Gothic" w:eastAsia="Calibri" w:hAnsi="Century Gothic"/>
          <w:i/>
          <w:iCs/>
          <w:color w:val="44546A"/>
          <w:sz w:val="18"/>
          <w:szCs w:val="18"/>
          <w:lang w:val="en-US" w:eastAsia="en-US"/>
        </w:rPr>
        <w:fldChar w:fldCharType="begin"/>
      </w:r>
      <w:r w:rsidRPr="001E01C6">
        <w:rPr>
          <w:rFonts w:ascii="Century Gothic" w:eastAsia="Calibri" w:hAnsi="Century Gothic"/>
          <w:i/>
          <w:iCs/>
          <w:color w:val="44546A"/>
          <w:sz w:val="18"/>
          <w:szCs w:val="18"/>
          <w:lang w:val="en-US" w:eastAsia="en-US"/>
        </w:rPr>
        <w:instrText xml:space="preserve"> SEQ Figure \* ARABIC </w:instrText>
      </w:r>
      <w:r w:rsidRPr="001E01C6">
        <w:rPr>
          <w:rFonts w:ascii="Century Gothic" w:eastAsia="Calibri" w:hAnsi="Century Gothic"/>
          <w:i/>
          <w:iCs/>
          <w:color w:val="44546A"/>
          <w:sz w:val="18"/>
          <w:szCs w:val="18"/>
          <w:lang w:val="en-US" w:eastAsia="en-US"/>
        </w:rPr>
        <w:fldChar w:fldCharType="separate"/>
      </w:r>
      <w:r>
        <w:rPr>
          <w:rFonts w:ascii="Century Gothic" w:eastAsia="Calibri" w:hAnsi="Century Gothic"/>
          <w:i/>
          <w:iCs/>
          <w:noProof/>
          <w:color w:val="44546A"/>
          <w:sz w:val="18"/>
          <w:szCs w:val="18"/>
          <w:lang w:val="en-US" w:eastAsia="en-US"/>
        </w:rPr>
        <w:t>4</w:t>
      </w:r>
      <w:r w:rsidRPr="001E01C6">
        <w:rPr>
          <w:rFonts w:ascii="Century Gothic" w:eastAsia="Calibri" w:hAnsi="Century Gothic"/>
          <w:i/>
          <w:iCs/>
          <w:color w:val="44546A"/>
          <w:sz w:val="18"/>
          <w:szCs w:val="18"/>
          <w:lang w:val="en-US" w:eastAsia="en-US"/>
        </w:rPr>
        <w:fldChar w:fldCharType="end"/>
      </w:r>
      <w:r w:rsidRPr="001E01C6">
        <w:rPr>
          <w:rFonts w:ascii="Century Gothic" w:eastAsia="Calibri" w:hAnsi="Century Gothic"/>
          <w:i/>
          <w:iCs/>
          <w:color w:val="44546A"/>
          <w:sz w:val="18"/>
          <w:szCs w:val="18"/>
          <w:lang w:val="en-US" w:eastAsia="en-US"/>
        </w:rPr>
        <w:t>. Greenhouse gas emissions per sector</w:t>
      </w:r>
    </w:p>
    <w:p w14:paraId="0D088A0C" w14:textId="25F25D53" w:rsidR="00EB2C27" w:rsidRDefault="00EB2C27" w:rsidP="00EB2C27">
      <w:pPr>
        <w:spacing w:after="160" w:line="259" w:lineRule="auto"/>
        <w:jc w:val="both"/>
        <w:rPr>
          <w:rFonts w:ascii="Century Gothic" w:eastAsia="Calibri" w:hAnsi="Century Gothic" w:cs="Arial"/>
          <w:color w:val="548235"/>
          <w:sz w:val="20"/>
          <w:szCs w:val="20"/>
          <w:lang w:val="en-GB" w:eastAsia="en-US"/>
        </w:rPr>
      </w:pPr>
      <w:r>
        <w:rPr>
          <w:noProof/>
          <w:lang w:val="en-US" w:eastAsia="en-US"/>
        </w:rPr>
        <w:drawing>
          <wp:inline distT="0" distB="0" distL="0" distR="0" wp14:anchorId="5DF302CE" wp14:editId="29B29E5D">
            <wp:extent cx="5788025" cy="2186940"/>
            <wp:effectExtent l="0" t="0" r="3175" b="3810"/>
            <wp:docPr id="2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14:paraId="1BA4AE20" w14:textId="77777777" w:rsidR="00EB2C27" w:rsidRPr="001E01C6" w:rsidRDefault="00EB2C27" w:rsidP="00EB2C27">
      <w:pPr>
        <w:keepNext/>
        <w:spacing w:line="240" w:lineRule="auto"/>
        <w:jc w:val="both"/>
        <w:rPr>
          <w:rFonts w:ascii="Century Gothic" w:eastAsia="Calibri" w:hAnsi="Century Gothic"/>
          <w:i/>
          <w:iCs/>
          <w:color w:val="44546A"/>
          <w:sz w:val="18"/>
          <w:szCs w:val="18"/>
          <w:lang w:val="en-US" w:eastAsia="en-US"/>
        </w:rPr>
      </w:pPr>
      <w:r w:rsidRPr="001E01C6">
        <w:rPr>
          <w:rFonts w:ascii="Century Gothic" w:eastAsia="Calibri" w:hAnsi="Century Gothic"/>
          <w:i/>
          <w:iCs/>
          <w:color w:val="44546A"/>
          <w:sz w:val="18"/>
          <w:szCs w:val="18"/>
          <w:lang w:val="en-US" w:eastAsia="en-US"/>
        </w:rPr>
        <w:t xml:space="preserve">Figure </w:t>
      </w:r>
      <w:r w:rsidRPr="001E01C6">
        <w:rPr>
          <w:rFonts w:ascii="Century Gothic" w:eastAsia="Calibri" w:hAnsi="Century Gothic"/>
          <w:i/>
          <w:iCs/>
          <w:color w:val="44546A"/>
          <w:sz w:val="18"/>
          <w:szCs w:val="18"/>
          <w:lang w:val="en-US" w:eastAsia="en-US"/>
        </w:rPr>
        <w:fldChar w:fldCharType="begin"/>
      </w:r>
      <w:r w:rsidRPr="001E01C6">
        <w:rPr>
          <w:rFonts w:ascii="Century Gothic" w:eastAsia="Calibri" w:hAnsi="Century Gothic"/>
          <w:i/>
          <w:iCs/>
          <w:color w:val="44546A"/>
          <w:sz w:val="18"/>
          <w:szCs w:val="18"/>
          <w:lang w:val="en-US" w:eastAsia="en-US"/>
        </w:rPr>
        <w:instrText xml:space="preserve"> SEQ Figure \* ARABIC </w:instrText>
      </w:r>
      <w:r w:rsidRPr="001E01C6">
        <w:rPr>
          <w:rFonts w:ascii="Century Gothic" w:eastAsia="Calibri" w:hAnsi="Century Gothic"/>
          <w:i/>
          <w:iCs/>
          <w:color w:val="44546A"/>
          <w:sz w:val="18"/>
          <w:szCs w:val="18"/>
          <w:lang w:val="en-US" w:eastAsia="en-US"/>
        </w:rPr>
        <w:fldChar w:fldCharType="separate"/>
      </w:r>
      <w:r>
        <w:rPr>
          <w:rFonts w:ascii="Century Gothic" w:eastAsia="Calibri" w:hAnsi="Century Gothic"/>
          <w:i/>
          <w:iCs/>
          <w:noProof/>
          <w:color w:val="44546A"/>
          <w:sz w:val="18"/>
          <w:szCs w:val="18"/>
          <w:lang w:val="en-US" w:eastAsia="en-US"/>
        </w:rPr>
        <w:t>5</w:t>
      </w:r>
      <w:r w:rsidRPr="001E01C6">
        <w:rPr>
          <w:rFonts w:ascii="Century Gothic" w:eastAsia="Calibri" w:hAnsi="Century Gothic"/>
          <w:i/>
          <w:iCs/>
          <w:color w:val="44546A"/>
          <w:sz w:val="18"/>
          <w:szCs w:val="18"/>
          <w:lang w:val="en-US" w:eastAsia="en-US"/>
        </w:rPr>
        <w:fldChar w:fldCharType="end"/>
      </w:r>
      <w:r w:rsidRPr="001E01C6">
        <w:rPr>
          <w:rFonts w:ascii="Century Gothic" w:eastAsia="Calibri" w:hAnsi="Century Gothic"/>
          <w:i/>
          <w:iCs/>
          <w:color w:val="44546A"/>
          <w:sz w:val="18"/>
          <w:szCs w:val="18"/>
          <w:lang w:val="en-US" w:eastAsia="en-US"/>
        </w:rPr>
        <w:t>. Final energy consumption per sector</w:t>
      </w:r>
    </w:p>
    <w:p w14:paraId="28FAA9DA" w14:textId="77777777" w:rsidR="00855AB5" w:rsidRPr="006836DF" w:rsidRDefault="00855AB5" w:rsidP="00855AB5">
      <w:pPr>
        <w:spacing w:after="160" w:line="259" w:lineRule="auto"/>
        <w:jc w:val="both"/>
        <w:rPr>
          <w:rFonts w:ascii="Century Gothic" w:eastAsia="Calibri" w:hAnsi="Century Gothic" w:cs="Arial"/>
          <w:color w:val="548235"/>
          <w:sz w:val="20"/>
          <w:szCs w:val="20"/>
          <w:lang w:val="en-GB" w:eastAsia="en-US"/>
        </w:rPr>
      </w:pPr>
    </w:p>
    <w:p w14:paraId="3352CBB1" w14:textId="739CE30C" w:rsidR="00855AB5" w:rsidRPr="002E5C23" w:rsidRDefault="00855AB5" w:rsidP="00855AB5">
      <w:pPr>
        <w:spacing w:after="160" w:line="259" w:lineRule="auto"/>
        <w:jc w:val="both"/>
        <w:rPr>
          <w:rFonts w:ascii="Century Gothic" w:eastAsia="Calibri" w:hAnsi="Century Gothic"/>
          <w:i/>
          <w:iCs/>
          <w:color w:val="44546A"/>
          <w:sz w:val="18"/>
          <w:szCs w:val="18"/>
          <w:lang w:val="en-US" w:eastAsia="en-US"/>
        </w:rPr>
      </w:pPr>
      <w:r w:rsidRPr="003D71E4">
        <w:rPr>
          <w:rFonts w:ascii="Century Gothic" w:eastAsia="Calibri" w:hAnsi="Century Gothic" w:cs="Arial"/>
          <w:color w:val="ED7D31"/>
          <w:sz w:val="20"/>
          <w:szCs w:val="20"/>
          <w:lang w:val="en-GB" w:eastAsia="en-US"/>
        </w:rPr>
        <w:t>In total, in the monitoring year 2017, CO</w:t>
      </w:r>
      <w:r w:rsidRPr="003D71E4">
        <w:rPr>
          <w:rFonts w:ascii="Century Gothic" w:eastAsia="Calibri" w:hAnsi="Century Gothic" w:cs="Arial"/>
          <w:color w:val="ED7D31"/>
          <w:sz w:val="20"/>
          <w:szCs w:val="20"/>
          <w:vertAlign w:val="subscript"/>
          <w:lang w:val="en-GB" w:eastAsia="en-US"/>
        </w:rPr>
        <w:t>2</w:t>
      </w:r>
      <w:r w:rsidRPr="003D71E4">
        <w:rPr>
          <w:rFonts w:ascii="Century Gothic" w:eastAsia="Calibri" w:hAnsi="Century Gothic" w:cs="Arial"/>
          <w:color w:val="ED7D31"/>
          <w:sz w:val="20"/>
          <w:szCs w:val="20"/>
          <w:lang w:val="en-GB" w:eastAsia="en-US"/>
        </w:rPr>
        <w:t xml:space="preserve"> emissions in the city were </w:t>
      </w:r>
      <w:r w:rsidR="007F4CE1">
        <w:rPr>
          <w:rFonts w:ascii="Century Gothic" w:eastAsia="Calibri" w:hAnsi="Century Gothic" w:cs="Arial"/>
          <w:color w:val="ED7D31"/>
          <w:sz w:val="20"/>
          <w:szCs w:val="20"/>
          <w:lang w:val="en-GB" w:eastAsia="en-US"/>
        </w:rPr>
        <w:t>28,444.48</w:t>
      </w:r>
      <w:r w:rsidRPr="003D71E4">
        <w:rPr>
          <w:rFonts w:ascii="Century Gothic" w:eastAsia="Calibri" w:hAnsi="Century Gothic" w:cs="Arial"/>
          <w:color w:val="ED7D31"/>
          <w:sz w:val="20"/>
          <w:szCs w:val="20"/>
          <w:lang w:val="en-GB" w:eastAsia="en-US"/>
        </w:rPr>
        <w:t xml:space="preserve"> tons of CO</w:t>
      </w:r>
      <w:r w:rsidRPr="003D71E4">
        <w:rPr>
          <w:rFonts w:ascii="Century Gothic" w:eastAsia="Calibri" w:hAnsi="Century Gothic" w:cs="Arial"/>
          <w:color w:val="ED7D31"/>
          <w:sz w:val="20"/>
          <w:szCs w:val="20"/>
          <w:vertAlign w:val="subscript"/>
          <w:lang w:val="en-GB" w:eastAsia="en-US"/>
        </w:rPr>
        <w:t>2</w:t>
      </w:r>
      <w:r>
        <w:rPr>
          <w:rFonts w:ascii="Century Gothic" w:eastAsia="Calibri" w:hAnsi="Century Gothic" w:cs="Arial"/>
          <w:color w:val="ED7D31"/>
          <w:sz w:val="20"/>
          <w:szCs w:val="20"/>
          <w:vertAlign w:val="subscript"/>
          <w:lang w:val="en-GB" w:eastAsia="en-US"/>
        </w:rPr>
        <w:t xml:space="preserve"> </w:t>
      </w:r>
      <w:r>
        <w:rPr>
          <w:rFonts w:ascii="Century Gothic" w:eastAsia="Calibri" w:hAnsi="Century Gothic" w:cs="Arial"/>
          <w:color w:val="ED7D31"/>
          <w:sz w:val="20"/>
          <w:szCs w:val="20"/>
          <w:lang w:val="en-GB" w:eastAsia="en-US"/>
        </w:rPr>
        <w:t xml:space="preserve">and energy consumption was </w:t>
      </w:r>
      <w:r w:rsidR="007F4CE1">
        <w:rPr>
          <w:rFonts w:ascii="Century Gothic" w:eastAsia="Calibri" w:hAnsi="Century Gothic" w:cs="Arial"/>
          <w:color w:val="ED7D31"/>
          <w:sz w:val="20"/>
          <w:szCs w:val="20"/>
          <w:lang w:val="en-GB" w:eastAsia="en-US"/>
        </w:rPr>
        <w:t>123,565.26</w:t>
      </w:r>
      <w:r w:rsidRPr="003D71E4">
        <w:rPr>
          <w:rFonts w:ascii="Century Gothic" w:eastAsia="Calibri" w:hAnsi="Century Gothic" w:cs="Arial"/>
          <w:color w:val="ED7D31"/>
          <w:sz w:val="20"/>
          <w:szCs w:val="20"/>
          <w:lang w:val="en-GB" w:eastAsia="en-US"/>
        </w:rPr>
        <w:t xml:space="preserve"> MWh. </w:t>
      </w:r>
      <w:r>
        <w:rPr>
          <w:rFonts w:ascii="Century Gothic" w:eastAsia="Calibri" w:hAnsi="Century Gothic" w:cs="Arial"/>
          <w:color w:val="ED7D31"/>
          <w:sz w:val="20"/>
          <w:szCs w:val="20"/>
          <w:lang w:val="en-GB" w:eastAsia="en-US"/>
        </w:rPr>
        <w:t xml:space="preserve">Energy consumption in the transport sector was </w:t>
      </w:r>
      <w:r w:rsidR="007F4CE1">
        <w:rPr>
          <w:rFonts w:ascii="Century Gothic" w:eastAsia="Calibri" w:hAnsi="Century Gothic" w:cs="Arial"/>
          <w:color w:val="ED7D31"/>
          <w:sz w:val="20"/>
          <w:szCs w:val="20"/>
          <w:lang w:val="en-GB" w:eastAsia="en-US"/>
        </w:rPr>
        <w:t>95,107.06</w:t>
      </w:r>
      <w:r>
        <w:rPr>
          <w:rFonts w:ascii="Century Gothic" w:eastAsia="Calibri" w:hAnsi="Century Gothic" w:cs="Arial"/>
          <w:color w:val="ED7D31"/>
          <w:sz w:val="20"/>
          <w:szCs w:val="20"/>
          <w:lang w:val="en-GB" w:eastAsia="en-US"/>
        </w:rPr>
        <w:t xml:space="preserve"> MWh, which is </w:t>
      </w:r>
      <w:r w:rsidR="007F4CE1">
        <w:rPr>
          <w:rFonts w:ascii="Century Gothic" w:eastAsia="Calibri" w:hAnsi="Century Gothic" w:cs="Arial"/>
          <w:color w:val="ED7D31"/>
          <w:sz w:val="20"/>
          <w:szCs w:val="20"/>
          <w:lang w:val="en-GB" w:eastAsia="en-US"/>
        </w:rPr>
        <w:t>76.97</w:t>
      </w:r>
      <w:r>
        <w:rPr>
          <w:rFonts w:ascii="Century Gothic" w:eastAsia="Calibri" w:hAnsi="Century Gothic" w:cs="Arial"/>
          <w:color w:val="ED7D31"/>
          <w:sz w:val="20"/>
          <w:szCs w:val="20"/>
          <w:lang w:val="en-GB" w:eastAsia="en-US"/>
        </w:rPr>
        <w:t xml:space="preserve">% of total energy consumption, while in the building sector it was </w:t>
      </w:r>
      <w:r w:rsidR="007F4CE1">
        <w:rPr>
          <w:rFonts w:ascii="Century Gothic" w:eastAsia="Calibri" w:hAnsi="Century Gothic" w:cs="Arial"/>
          <w:color w:val="ED7D31"/>
          <w:sz w:val="20"/>
          <w:szCs w:val="20"/>
          <w:lang w:val="en-GB" w:eastAsia="en-US"/>
        </w:rPr>
        <w:t>28,137.10</w:t>
      </w:r>
      <w:r>
        <w:rPr>
          <w:rFonts w:ascii="Century Gothic" w:eastAsia="Calibri" w:hAnsi="Century Gothic" w:cs="Arial"/>
          <w:color w:val="ED7D31"/>
          <w:sz w:val="20"/>
          <w:szCs w:val="20"/>
          <w:lang w:val="en-GB" w:eastAsia="en-US"/>
        </w:rPr>
        <w:t xml:space="preserve"> (</w:t>
      </w:r>
      <w:r w:rsidR="007F4CE1">
        <w:rPr>
          <w:rFonts w:ascii="Century Gothic" w:eastAsia="Calibri" w:hAnsi="Century Gothic" w:cs="Arial"/>
          <w:color w:val="ED7D31"/>
          <w:sz w:val="20"/>
          <w:szCs w:val="20"/>
          <w:lang w:val="en-GB" w:eastAsia="en-US"/>
        </w:rPr>
        <w:t>22.77</w:t>
      </w:r>
      <w:r>
        <w:rPr>
          <w:rFonts w:ascii="Century Gothic" w:eastAsia="Calibri" w:hAnsi="Century Gothic" w:cs="Arial"/>
          <w:color w:val="ED7D31"/>
          <w:sz w:val="20"/>
          <w:szCs w:val="20"/>
          <w:lang w:val="en-GB" w:eastAsia="en-US"/>
        </w:rPr>
        <w:t xml:space="preserve">%) and </w:t>
      </w:r>
      <w:r w:rsidR="007F4CE1">
        <w:rPr>
          <w:rFonts w:ascii="Century Gothic" w:eastAsia="Calibri" w:hAnsi="Century Gothic" w:cs="Arial"/>
          <w:color w:val="ED7D31"/>
          <w:sz w:val="20"/>
          <w:szCs w:val="20"/>
          <w:lang w:val="en-GB" w:eastAsia="en-US"/>
        </w:rPr>
        <w:t>321.09</w:t>
      </w:r>
      <w:r>
        <w:rPr>
          <w:rFonts w:ascii="Century Gothic" w:eastAsia="Calibri" w:hAnsi="Century Gothic" w:cs="Arial"/>
          <w:color w:val="ED7D31"/>
          <w:sz w:val="20"/>
          <w:szCs w:val="20"/>
          <w:lang w:val="en-GB" w:eastAsia="en-US"/>
        </w:rPr>
        <w:t xml:space="preserve"> MWh in the public lighting sector (0.</w:t>
      </w:r>
      <w:r w:rsidR="007F4CE1">
        <w:rPr>
          <w:rFonts w:ascii="Century Gothic" w:eastAsia="Calibri" w:hAnsi="Century Gothic" w:cs="Arial"/>
          <w:color w:val="ED7D31"/>
          <w:sz w:val="20"/>
          <w:szCs w:val="20"/>
          <w:lang w:val="en-GB" w:eastAsia="en-US"/>
        </w:rPr>
        <w:t>26</w:t>
      </w:r>
      <w:r>
        <w:rPr>
          <w:rFonts w:ascii="Century Gothic" w:eastAsia="Calibri" w:hAnsi="Century Gothic" w:cs="Arial"/>
          <w:color w:val="ED7D31"/>
          <w:sz w:val="20"/>
          <w:szCs w:val="20"/>
          <w:lang w:val="en-GB" w:eastAsia="en-US"/>
        </w:rPr>
        <w:t>%).</w:t>
      </w:r>
    </w:p>
    <w:p w14:paraId="00569D5F" w14:textId="77777777" w:rsidR="00F64B6C" w:rsidRDefault="00F64B6C" w:rsidP="00686B17">
      <w:pPr>
        <w:spacing w:after="160" w:line="259" w:lineRule="auto"/>
        <w:jc w:val="both"/>
        <w:rPr>
          <w:rFonts w:ascii="Century Gothic" w:eastAsia="Calibri" w:hAnsi="Century Gothic"/>
          <w:b/>
          <w:color w:val="000000"/>
          <w:sz w:val="20"/>
          <w:szCs w:val="20"/>
          <w:lang w:val="en-US" w:eastAsia="en-US"/>
        </w:rPr>
      </w:pPr>
    </w:p>
    <w:p w14:paraId="15E003A1" w14:textId="77777777" w:rsidR="00686B17" w:rsidRPr="00686B17" w:rsidRDefault="00686B17" w:rsidP="00686B17">
      <w:pPr>
        <w:spacing w:after="160" w:line="259" w:lineRule="auto"/>
        <w:jc w:val="both"/>
        <w:rPr>
          <w:rFonts w:ascii="Century Gothic" w:eastAsia="Calibri" w:hAnsi="Century Gothic"/>
          <w:b/>
          <w:color w:val="000000"/>
          <w:sz w:val="20"/>
          <w:szCs w:val="20"/>
          <w:lang w:val="en-US" w:eastAsia="en-US"/>
        </w:rPr>
      </w:pPr>
      <w:r w:rsidRPr="00686B17">
        <w:rPr>
          <w:rFonts w:ascii="Century Gothic" w:eastAsia="Calibri" w:hAnsi="Century Gothic"/>
          <w:b/>
          <w:color w:val="000000"/>
          <w:sz w:val="20"/>
          <w:szCs w:val="20"/>
          <w:lang w:val="en-US" w:eastAsia="en-US"/>
        </w:rPr>
        <w:t>Baseline Emissions Inventory (BEI)</w:t>
      </w:r>
    </w:p>
    <w:p w14:paraId="3E539F5C" w14:textId="62B3C6BD" w:rsidR="00686B17" w:rsidRDefault="00686B17" w:rsidP="00686B17">
      <w:pPr>
        <w:spacing w:after="160" w:line="259" w:lineRule="auto"/>
        <w:jc w:val="both"/>
        <w:rPr>
          <w:rFonts w:ascii="Century Gothic" w:eastAsia="Calibri" w:hAnsi="Century Gothic" w:cs="Arial"/>
          <w:sz w:val="20"/>
          <w:szCs w:val="20"/>
          <w:lang w:val="en-GB" w:eastAsia="en-US"/>
        </w:rPr>
      </w:pPr>
      <w:r w:rsidRPr="00686B17">
        <w:rPr>
          <w:rFonts w:ascii="Century Gothic" w:eastAsia="Calibri" w:hAnsi="Century Gothic"/>
          <w:color w:val="000000"/>
          <w:sz w:val="20"/>
          <w:szCs w:val="20"/>
          <w:lang w:val="en-US" w:eastAsia="en-US"/>
        </w:rPr>
        <w:t xml:space="preserve">The baseline </w:t>
      </w:r>
      <w:r w:rsidRPr="00686B17">
        <w:rPr>
          <w:rFonts w:ascii="Century Gothic" w:eastAsia="Calibri" w:hAnsi="Century Gothic"/>
          <w:sz w:val="20"/>
          <w:szCs w:val="20"/>
          <w:lang w:val="en-US" w:eastAsia="en-US"/>
        </w:rPr>
        <w:t xml:space="preserve">Emissions Inventory </w:t>
      </w:r>
      <w:r w:rsidRPr="00686B17">
        <w:rPr>
          <w:rFonts w:ascii="Century Gothic" w:eastAsia="Calibri" w:hAnsi="Century Gothic" w:cs="Arial"/>
          <w:sz w:val="20"/>
          <w:szCs w:val="20"/>
          <w:lang w:val="en-GB" w:eastAsia="en-US"/>
        </w:rPr>
        <w:t xml:space="preserve">was elaborated for </w:t>
      </w:r>
      <w:r w:rsidR="007F4CE1">
        <w:rPr>
          <w:rFonts w:ascii="Century Gothic" w:eastAsia="Calibri" w:hAnsi="Century Gothic" w:cs="Arial"/>
          <w:color w:val="ED7D31"/>
          <w:sz w:val="20"/>
          <w:szCs w:val="20"/>
          <w:lang w:val="en-GB" w:eastAsia="en-US"/>
        </w:rPr>
        <w:t>2017</w:t>
      </w:r>
      <w:r w:rsidRPr="00686B17">
        <w:rPr>
          <w:rFonts w:ascii="Century Gothic" w:eastAsia="Calibri" w:hAnsi="Century Gothic" w:cs="Arial"/>
          <w:color w:val="ED7D31"/>
          <w:sz w:val="20"/>
          <w:szCs w:val="20"/>
          <w:lang w:val="en-GB" w:eastAsia="en-US"/>
        </w:rPr>
        <w:t xml:space="preserve"> </w:t>
      </w:r>
      <w:r w:rsidRPr="00686B17">
        <w:rPr>
          <w:rFonts w:ascii="Century Gothic" w:eastAsia="Calibri" w:hAnsi="Century Gothic" w:cs="Arial"/>
          <w:sz w:val="20"/>
          <w:szCs w:val="20"/>
          <w:lang w:val="en-GB" w:eastAsia="en-US"/>
        </w:rPr>
        <w:t>(baseline year) and for the calculation of the emissio</w:t>
      </w:r>
      <w:r w:rsidR="007F4CE1">
        <w:rPr>
          <w:rFonts w:ascii="Century Gothic" w:eastAsia="Calibri" w:hAnsi="Century Gothic" w:cs="Arial"/>
          <w:sz w:val="20"/>
          <w:szCs w:val="20"/>
          <w:lang w:val="en-GB" w:eastAsia="en-US"/>
        </w:rPr>
        <w:t>ns, the activity-based approach</w:t>
      </w:r>
      <w:r w:rsidR="00CF402F">
        <w:rPr>
          <w:rFonts w:ascii="Century Gothic" w:eastAsia="Calibri" w:hAnsi="Century Gothic" w:cs="Arial"/>
          <w:sz w:val="20"/>
          <w:szCs w:val="20"/>
          <w:lang w:val="en-GB" w:eastAsia="en-US"/>
        </w:rPr>
        <w:t xml:space="preserve"> has been adopted, while the </w:t>
      </w:r>
      <w:r w:rsidRPr="00686B17">
        <w:rPr>
          <w:rFonts w:ascii="Century Gothic" w:eastAsia="Calibri" w:hAnsi="Century Gothic" w:cs="Arial"/>
          <w:sz w:val="20"/>
          <w:szCs w:val="20"/>
          <w:lang w:val="en-GB" w:eastAsia="en-US"/>
        </w:rPr>
        <w:t xml:space="preserve">reduction target was </w:t>
      </w:r>
      <w:r w:rsidR="007F4CE1">
        <w:rPr>
          <w:rFonts w:ascii="Century Gothic" w:eastAsia="Calibri" w:hAnsi="Century Gothic" w:cs="Arial"/>
          <w:sz w:val="20"/>
          <w:szCs w:val="20"/>
          <w:lang w:val="en-GB" w:eastAsia="en-US"/>
        </w:rPr>
        <w:t>40.00% or 11,377.56 4 t CO</w:t>
      </w:r>
      <w:r w:rsidR="007F4CE1" w:rsidRPr="001B42D2">
        <w:rPr>
          <w:rFonts w:ascii="Century Gothic" w:eastAsia="Calibri" w:hAnsi="Century Gothic" w:cs="Arial"/>
          <w:sz w:val="20"/>
          <w:szCs w:val="20"/>
          <w:lang w:val="en-GB" w:eastAsia="en-US"/>
        </w:rPr>
        <w:t>2</w:t>
      </w:r>
      <w:r w:rsidR="007F4CE1">
        <w:rPr>
          <w:rFonts w:ascii="Century Gothic" w:eastAsia="Calibri" w:hAnsi="Century Gothic" w:cs="Arial"/>
          <w:sz w:val="20"/>
          <w:szCs w:val="20"/>
          <w:vertAlign w:val="subscript"/>
          <w:lang w:val="en-GB" w:eastAsia="en-US"/>
        </w:rPr>
        <w:t xml:space="preserve"> </w:t>
      </w:r>
      <w:r w:rsidR="007F4CE1">
        <w:rPr>
          <w:rFonts w:ascii="Century Gothic" w:eastAsia="Calibri" w:hAnsi="Century Gothic" w:cs="Arial"/>
          <w:sz w:val="20"/>
          <w:szCs w:val="20"/>
          <w:lang w:val="en-GB" w:eastAsia="en-US"/>
        </w:rPr>
        <w:t>in the year 2030</w:t>
      </w:r>
      <w:r w:rsidR="007F4CE1" w:rsidRPr="00686B17">
        <w:rPr>
          <w:rFonts w:ascii="Century Gothic" w:eastAsia="Calibri" w:hAnsi="Century Gothic" w:cs="Arial"/>
          <w:sz w:val="20"/>
          <w:szCs w:val="20"/>
          <w:lang w:val="en-GB" w:eastAsia="en-US"/>
        </w:rPr>
        <w:t>.</w:t>
      </w:r>
    </w:p>
    <w:p w14:paraId="29156C8E" w14:textId="77777777" w:rsidR="00DF70A9" w:rsidRPr="00686B17" w:rsidRDefault="00DF70A9" w:rsidP="00686B17">
      <w:pPr>
        <w:spacing w:after="160" w:line="259" w:lineRule="auto"/>
        <w:jc w:val="both"/>
        <w:rPr>
          <w:rFonts w:ascii="Century Gothic" w:eastAsia="Calibri" w:hAnsi="Century Gothic" w:cs="Arial"/>
          <w:sz w:val="20"/>
          <w:szCs w:val="20"/>
          <w:lang w:val="en-GB" w:eastAsia="en-US"/>
        </w:rPr>
      </w:pPr>
    </w:p>
    <w:p w14:paraId="3E5C1E37" w14:textId="77777777" w:rsidR="007F4CE1" w:rsidRDefault="007F4CE1" w:rsidP="00686B17">
      <w:pPr>
        <w:spacing w:after="160" w:line="259" w:lineRule="auto"/>
        <w:jc w:val="both"/>
        <w:rPr>
          <w:rFonts w:ascii="Century Gothic" w:eastAsia="Calibri" w:hAnsi="Century Gothic"/>
          <w:b/>
          <w:color w:val="000000"/>
          <w:sz w:val="20"/>
          <w:szCs w:val="20"/>
          <w:lang w:val="en-US" w:eastAsia="en-US"/>
        </w:rPr>
        <w:sectPr w:rsidR="007F4CE1" w:rsidSect="00574775">
          <w:headerReference w:type="default" r:id="rId30"/>
          <w:footerReference w:type="default" r:id="rId31"/>
          <w:pgSz w:w="12240" w:h="15840"/>
          <w:pgMar w:top="1440" w:right="1325" w:bottom="1440" w:left="1800" w:header="720" w:footer="720" w:gutter="0"/>
          <w:pgNumType w:start="1"/>
          <w:cols w:space="720"/>
          <w:docGrid w:linePitch="360"/>
        </w:sectPr>
      </w:pPr>
    </w:p>
    <w:p w14:paraId="35F25F26" w14:textId="7C615DE5" w:rsidR="00686B17" w:rsidRPr="00686B17" w:rsidRDefault="00686B17" w:rsidP="00686B17">
      <w:pPr>
        <w:spacing w:after="160" w:line="259" w:lineRule="auto"/>
        <w:jc w:val="both"/>
        <w:rPr>
          <w:rFonts w:ascii="Century Gothic" w:eastAsia="Calibri" w:hAnsi="Century Gothic"/>
          <w:b/>
          <w:color w:val="000000"/>
          <w:sz w:val="20"/>
          <w:szCs w:val="20"/>
          <w:lang w:val="en-US" w:eastAsia="en-US"/>
        </w:rPr>
      </w:pPr>
      <w:r w:rsidRPr="00686B17">
        <w:rPr>
          <w:rFonts w:ascii="Century Gothic" w:eastAsia="Calibri" w:hAnsi="Century Gothic"/>
          <w:b/>
          <w:color w:val="000000"/>
          <w:sz w:val="20"/>
          <w:szCs w:val="20"/>
          <w:lang w:val="en-US" w:eastAsia="en-US"/>
        </w:rPr>
        <w:lastRenderedPageBreak/>
        <w:t>Final Energy Consumption &amp; Corresponding CO</w:t>
      </w:r>
      <w:r w:rsidRPr="0040357A">
        <w:rPr>
          <w:rFonts w:ascii="Century Gothic" w:eastAsia="Calibri" w:hAnsi="Century Gothic"/>
          <w:b/>
          <w:color w:val="000000"/>
          <w:sz w:val="20"/>
          <w:szCs w:val="20"/>
          <w:vertAlign w:val="subscript"/>
          <w:lang w:val="en-US" w:eastAsia="en-US"/>
        </w:rPr>
        <w:t>2</w:t>
      </w:r>
      <w:r w:rsidRPr="00686B17">
        <w:rPr>
          <w:rFonts w:ascii="Century Gothic" w:eastAsia="Calibri" w:hAnsi="Century Gothic"/>
          <w:b/>
          <w:color w:val="000000"/>
          <w:sz w:val="20"/>
          <w:szCs w:val="20"/>
          <w:lang w:val="en-US" w:eastAsia="en-US"/>
        </w:rPr>
        <w:t xml:space="preserve"> Emissions </w:t>
      </w:r>
    </w:p>
    <w:p w14:paraId="2E390D4C" w14:textId="3D83AFD9" w:rsidR="00686B17" w:rsidRPr="00686B17" w:rsidRDefault="00686B17" w:rsidP="00686B17">
      <w:pPr>
        <w:spacing w:after="160" w:line="259" w:lineRule="auto"/>
        <w:jc w:val="both"/>
        <w:rPr>
          <w:rFonts w:ascii="Century Gothic" w:eastAsia="Calibri" w:hAnsi="Century Gothic"/>
          <w:color w:val="000000"/>
          <w:sz w:val="20"/>
          <w:szCs w:val="20"/>
          <w:lang w:val="en-US" w:eastAsia="en-US"/>
        </w:rPr>
      </w:pPr>
      <w:r w:rsidRPr="00686B17">
        <w:rPr>
          <w:rFonts w:ascii="Century Gothic" w:eastAsia="Calibri" w:hAnsi="Century Gothic"/>
          <w:color w:val="000000"/>
          <w:sz w:val="20"/>
          <w:szCs w:val="20"/>
          <w:lang w:val="en-US" w:eastAsia="en-US"/>
        </w:rPr>
        <w:t>The methodology adopted in order to calculate the Final Energy Consumption and the corresponding CO</w:t>
      </w:r>
      <w:r w:rsidRPr="0040357A">
        <w:rPr>
          <w:rFonts w:ascii="Century Gothic" w:eastAsia="Calibri" w:hAnsi="Century Gothic"/>
          <w:color w:val="000000"/>
          <w:sz w:val="20"/>
          <w:szCs w:val="20"/>
          <w:vertAlign w:val="subscript"/>
          <w:lang w:val="en-US" w:eastAsia="en-US"/>
        </w:rPr>
        <w:t>2</w:t>
      </w:r>
      <w:r w:rsidRPr="00686B17">
        <w:rPr>
          <w:rFonts w:ascii="Century Gothic" w:eastAsia="Calibri" w:hAnsi="Century Gothic"/>
          <w:color w:val="000000"/>
          <w:sz w:val="20"/>
          <w:szCs w:val="20"/>
          <w:lang w:val="en-US" w:eastAsia="en-US"/>
        </w:rPr>
        <w:t xml:space="preserve"> emissions in the Municipality of </w:t>
      </w:r>
      <w:r w:rsidR="0094679C">
        <w:rPr>
          <w:rFonts w:ascii="Century Gothic" w:eastAsia="Calibri" w:hAnsi="Century Gothic"/>
          <w:color w:val="ED7D31"/>
          <w:sz w:val="20"/>
          <w:szCs w:val="20"/>
          <w:lang w:val="en-US" w:eastAsia="en-US"/>
        </w:rPr>
        <w:t>Vodnjan</w:t>
      </w:r>
      <w:r w:rsidRPr="00686B17">
        <w:rPr>
          <w:rFonts w:ascii="Century Gothic" w:eastAsia="Calibri" w:hAnsi="Century Gothic"/>
          <w:color w:val="000000"/>
          <w:sz w:val="20"/>
          <w:szCs w:val="20"/>
          <w:lang w:val="en-US" w:eastAsia="en-US"/>
        </w:rPr>
        <w:t xml:space="preserve"> was a bottom – up approach and the emission factors used are presented in the table below.</w:t>
      </w:r>
    </w:p>
    <w:p w14:paraId="5DBFE3F1" w14:textId="77777777" w:rsidR="00686B17" w:rsidRPr="00686B17" w:rsidRDefault="00686B17" w:rsidP="00686B17">
      <w:pPr>
        <w:keepNext/>
        <w:spacing w:line="240" w:lineRule="auto"/>
        <w:jc w:val="both"/>
        <w:rPr>
          <w:rFonts w:ascii="Century Gothic" w:eastAsia="Calibri" w:hAnsi="Century Gothic"/>
          <w:i/>
          <w:iCs/>
          <w:color w:val="44546A"/>
          <w:sz w:val="18"/>
          <w:szCs w:val="18"/>
          <w:lang w:val="en-US" w:eastAsia="en-US"/>
        </w:rPr>
      </w:pPr>
      <w:r w:rsidRPr="00686B17">
        <w:rPr>
          <w:rFonts w:ascii="Century Gothic" w:eastAsia="Calibri" w:hAnsi="Century Gothic"/>
          <w:i/>
          <w:iCs/>
          <w:color w:val="44546A"/>
          <w:sz w:val="18"/>
          <w:szCs w:val="18"/>
          <w:lang w:val="en-US" w:eastAsia="en-US"/>
        </w:rPr>
        <w:t xml:space="preserve">Table </w:t>
      </w:r>
      <w:r w:rsidRPr="00686B17">
        <w:rPr>
          <w:rFonts w:ascii="Century Gothic" w:eastAsia="Calibri" w:hAnsi="Century Gothic"/>
          <w:i/>
          <w:iCs/>
          <w:color w:val="44546A"/>
          <w:sz w:val="18"/>
          <w:szCs w:val="18"/>
          <w:lang w:eastAsia="en-US"/>
        </w:rPr>
        <w:fldChar w:fldCharType="begin"/>
      </w:r>
      <w:r w:rsidRPr="00686B17">
        <w:rPr>
          <w:rFonts w:ascii="Century Gothic" w:eastAsia="Calibri" w:hAnsi="Century Gothic"/>
          <w:i/>
          <w:iCs/>
          <w:color w:val="44546A"/>
          <w:sz w:val="18"/>
          <w:szCs w:val="18"/>
          <w:lang w:val="en-US" w:eastAsia="en-US"/>
        </w:rPr>
        <w:instrText xml:space="preserve"> SEQ Table \* ARABIC </w:instrText>
      </w:r>
      <w:r w:rsidRPr="00686B17">
        <w:rPr>
          <w:rFonts w:ascii="Century Gothic" w:eastAsia="Calibri" w:hAnsi="Century Gothic"/>
          <w:i/>
          <w:iCs/>
          <w:color w:val="44546A"/>
          <w:sz w:val="18"/>
          <w:szCs w:val="18"/>
          <w:lang w:eastAsia="en-US"/>
        </w:rPr>
        <w:fldChar w:fldCharType="separate"/>
      </w:r>
      <w:r w:rsidRPr="00686B17">
        <w:rPr>
          <w:rFonts w:ascii="Century Gothic" w:eastAsia="Calibri" w:hAnsi="Century Gothic"/>
          <w:i/>
          <w:iCs/>
          <w:noProof/>
          <w:color w:val="44546A"/>
          <w:sz w:val="18"/>
          <w:szCs w:val="18"/>
          <w:lang w:val="en-US" w:eastAsia="en-US"/>
        </w:rPr>
        <w:t>1</w:t>
      </w:r>
      <w:r w:rsidRPr="00686B17">
        <w:rPr>
          <w:rFonts w:ascii="Century Gothic" w:eastAsia="Calibri" w:hAnsi="Century Gothic"/>
          <w:i/>
          <w:iCs/>
          <w:color w:val="44546A"/>
          <w:sz w:val="18"/>
          <w:szCs w:val="18"/>
          <w:lang w:eastAsia="en-US"/>
        </w:rPr>
        <w:fldChar w:fldCharType="end"/>
      </w:r>
      <w:r w:rsidRPr="00686B17">
        <w:rPr>
          <w:rFonts w:ascii="Century Gothic" w:eastAsia="Calibri" w:hAnsi="Century Gothic"/>
          <w:i/>
          <w:iCs/>
          <w:color w:val="44546A"/>
          <w:sz w:val="18"/>
          <w:szCs w:val="18"/>
          <w:lang w:val="en-US" w:eastAsia="en-US"/>
        </w:rPr>
        <w:t>; CO</w:t>
      </w:r>
      <w:r w:rsidRPr="0040357A">
        <w:rPr>
          <w:rFonts w:ascii="Century Gothic" w:eastAsia="Calibri" w:hAnsi="Century Gothic"/>
          <w:i/>
          <w:iCs/>
          <w:color w:val="44546A"/>
          <w:sz w:val="18"/>
          <w:szCs w:val="18"/>
          <w:vertAlign w:val="subscript"/>
          <w:lang w:val="en-US" w:eastAsia="en-US"/>
        </w:rPr>
        <w:t>2</w:t>
      </w:r>
      <w:r w:rsidRPr="00686B17">
        <w:rPr>
          <w:rFonts w:ascii="Century Gothic" w:eastAsia="Calibri" w:hAnsi="Century Gothic"/>
          <w:i/>
          <w:iCs/>
          <w:color w:val="44546A"/>
          <w:sz w:val="18"/>
          <w:szCs w:val="18"/>
          <w:lang w:val="en-US" w:eastAsia="en-US"/>
        </w:rPr>
        <w:t xml:space="preserve"> emission factors adopted [t/MWh]</w:t>
      </w:r>
    </w:p>
    <w:tbl>
      <w:tblPr>
        <w:tblW w:w="13070" w:type="dxa"/>
        <w:tblLook w:val="04A0" w:firstRow="1" w:lastRow="0" w:firstColumn="1" w:lastColumn="0" w:noHBand="0" w:noVBand="1"/>
      </w:tblPr>
      <w:tblGrid>
        <w:gridCol w:w="848"/>
        <w:gridCol w:w="1192"/>
        <w:gridCol w:w="937"/>
        <w:gridCol w:w="834"/>
        <w:gridCol w:w="815"/>
        <w:gridCol w:w="803"/>
        <w:gridCol w:w="927"/>
        <w:gridCol w:w="983"/>
        <w:gridCol w:w="830"/>
        <w:gridCol w:w="722"/>
        <w:gridCol w:w="666"/>
        <w:gridCol w:w="731"/>
        <w:gridCol w:w="759"/>
        <w:gridCol w:w="918"/>
        <w:gridCol w:w="794"/>
        <w:gridCol w:w="1106"/>
      </w:tblGrid>
      <w:tr w:rsidR="007F4CE1" w:rsidRPr="001E01C6" w14:paraId="73EDC2E2" w14:textId="77777777" w:rsidTr="00742086">
        <w:trPr>
          <w:trHeight w:val="360"/>
        </w:trPr>
        <w:tc>
          <w:tcPr>
            <w:tcW w:w="1890" w:type="dxa"/>
            <w:gridSpan w:val="2"/>
            <w:tcBorders>
              <w:top w:val="single" w:sz="4" w:space="0" w:color="6C6864"/>
              <w:left w:val="single" w:sz="4" w:space="0" w:color="6C6864"/>
              <w:bottom w:val="single" w:sz="4" w:space="0" w:color="6C6864"/>
              <w:right w:val="single" w:sz="4" w:space="0" w:color="6C6864"/>
            </w:tcBorders>
            <w:shd w:val="clear" w:color="000000" w:fill="66AACD"/>
            <w:vAlign w:val="center"/>
            <w:hideMark/>
          </w:tcPr>
          <w:p w14:paraId="5E2F0532"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Electricity</w:t>
            </w:r>
          </w:p>
        </w:tc>
        <w:tc>
          <w:tcPr>
            <w:tcW w:w="853" w:type="dxa"/>
            <w:vMerge w:val="restart"/>
            <w:tcBorders>
              <w:top w:val="single" w:sz="4" w:space="0" w:color="6C6864"/>
              <w:left w:val="single" w:sz="4" w:space="0" w:color="6C6864"/>
              <w:bottom w:val="single" w:sz="4" w:space="0" w:color="6C6864"/>
              <w:right w:val="single" w:sz="4" w:space="0" w:color="6C6864"/>
            </w:tcBorders>
            <w:shd w:val="clear" w:color="000000" w:fill="66AACD"/>
            <w:vAlign w:val="center"/>
            <w:hideMark/>
          </w:tcPr>
          <w:p w14:paraId="4CE735AA"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Heat/cold</w:t>
            </w:r>
          </w:p>
        </w:tc>
        <w:tc>
          <w:tcPr>
            <w:tcW w:w="6577" w:type="dxa"/>
            <w:gridSpan w:val="8"/>
            <w:tcBorders>
              <w:top w:val="single" w:sz="4" w:space="0" w:color="6C6864"/>
              <w:left w:val="nil"/>
              <w:bottom w:val="single" w:sz="4" w:space="0" w:color="6C6864"/>
              <w:right w:val="single" w:sz="4" w:space="0" w:color="6C6864"/>
            </w:tcBorders>
            <w:shd w:val="clear" w:color="000000" w:fill="66AACD"/>
            <w:vAlign w:val="center"/>
            <w:hideMark/>
          </w:tcPr>
          <w:p w14:paraId="5D02A72D"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Fossil fuels</w:t>
            </w:r>
          </w:p>
        </w:tc>
        <w:tc>
          <w:tcPr>
            <w:tcW w:w="3750" w:type="dxa"/>
            <w:gridSpan w:val="5"/>
            <w:tcBorders>
              <w:top w:val="single" w:sz="4" w:space="0" w:color="6C6864"/>
              <w:left w:val="nil"/>
              <w:bottom w:val="single" w:sz="4" w:space="0" w:color="6C6864"/>
              <w:right w:val="single" w:sz="4" w:space="0" w:color="6C6864"/>
            </w:tcBorders>
            <w:shd w:val="clear" w:color="000000" w:fill="66AACD"/>
            <w:vAlign w:val="center"/>
            <w:hideMark/>
          </w:tcPr>
          <w:p w14:paraId="49D4632E"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Renewable energies</w:t>
            </w:r>
          </w:p>
        </w:tc>
      </w:tr>
      <w:tr w:rsidR="007F4CE1" w:rsidRPr="001E01C6" w14:paraId="35B19365" w14:textId="77777777" w:rsidTr="00742086">
        <w:trPr>
          <w:trHeight w:val="555"/>
        </w:trPr>
        <w:tc>
          <w:tcPr>
            <w:tcW w:w="698" w:type="dxa"/>
            <w:tcBorders>
              <w:top w:val="nil"/>
              <w:left w:val="single" w:sz="4" w:space="0" w:color="6C6864"/>
              <w:bottom w:val="single" w:sz="4" w:space="0" w:color="6C6864"/>
              <w:right w:val="single" w:sz="4" w:space="0" w:color="6C6864"/>
            </w:tcBorders>
            <w:shd w:val="clear" w:color="000000" w:fill="66AACD"/>
            <w:noWrap/>
            <w:vAlign w:val="center"/>
            <w:hideMark/>
          </w:tcPr>
          <w:p w14:paraId="035A5CE1" w14:textId="77777777" w:rsidR="007F4CE1" w:rsidRPr="001E01C6" w:rsidRDefault="007F4CE1" w:rsidP="00742086">
            <w:pPr>
              <w:spacing w:after="0" w:line="240" w:lineRule="auto"/>
              <w:jc w:val="center"/>
              <w:rPr>
                <w:rFonts w:ascii="Arial" w:hAnsi="Arial" w:cs="Arial"/>
                <w:b/>
                <w:bCs/>
                <w:sz w:val="16"/>
                <w:szCs w:val="16"/>
                <w:u w:val="double"/>
                <w:lang w:val="en-US" w:eastAsia="en-US"/>
              </w:rPr>
            </w:pPr>
            <w:r w:rsidRPr="001E01C6">
              <w:rPr>
                <w:rFonts w:ascii="Arial" w:hAnsi="Arial" w:cs="Arial"/>
                <w:b/>
                <w:bCs/>
                <w:sz w:val="16"/>
                <w:szCs w:val="16"/>
                <w:u w:val="double"/>
                <w:lang w:val="en-US" w:eastAsia="en-US"/>
              </w:rPr>
              <w:t>National</w:t>
            </w:r>
          </w:p>
        </w:tc>
        <w:tc>
          <w:tcPr>
            <w:tcW w:w="1192" w:type="dxa"/>
            <w:tcBorders>
              <w:top w:val="nil"/>
              <w:left w:val="nil"/>
              <w:bottom w:val="single" w:sz="4" w:space="0" w:color="6C6864"/>
              <w:right w:val="single" w:sz="4" w:space="0" w:color="6C6864"/>
            </w:tcBorders>
            <w:shd w:val="clear" w:color="000000" w:fill="66AACD"/>
            <w:vAlign w:val="center"/>
            <w:hideMark/>
          </w:tcPr>
          <w:p w14:paraId="3CA9D21F" w14:textId="77777777" w:rsidR="007F4CE1" w:rsidRPr="001E01C6" w:rsidRDefault="007F4CE1" w:rsidP="00742086">
            <w:pPr>
              <w:spacing w:after="0" w:line="240" w:lineRule="auto"/>
              <w:jc w:val="center"/>
              <w:rPr>
                <w:rFonts w:ascii="Arial" w:hAnsi="Arial" w:cs="Arial"/>
                <w:b/>
                <w:bCs/>
                <w:sz w:val="16"/>
                <w:szCs w:val="16"/>
                <w:u w:val="double"/>
                <w:lang w:val="en-US" w:eastAsia="en-US"/>
              </w:rPr>
            </w:pPr>
            <w:r w:rsidRPr="001E01C6">
              <w:rPr>
                <w:rFonts w:ascii="Arial" w:hAnsi="Arial" w:cs="Arial"/>
                <w:b/>
                <w:bCs/>
                <w:sz w:val="16"/>
                <w:szCs w:val="16"/>
                <w:u w:val="double"/>
                <w:lang w:val="en-US" w:eastAsia="en-US"/>
              </w:rPr>
              <w:t>Local</w:t>
            </w:r>
          </w:p>
        </w:tc>
        <w:tc>
          <w:tcPr>
            <w:tcW w:w="853" w:type="dxa"/>
            <w:vMerge/>
            <w:tcBorders>
              <w:top w:val="single" w:sz="4" w:space="0" w:color="6C6864"/>
              <w:left w:val="single" w:sz="4" w:space="0" w:color="6C6864"/>
              <w:bottom w:val="single" w:sz="4" w:space="0" w:color="6C6864"/>
              <w:right w:val="single" w:sz="4" w:space="0" w:color="6C6864"/>
            </w:tcBorders>
            <w:vAlign w:val="center"/>
            <w:hideMark/>
          </w:tcPr>
          <w:p w14:paraId="59EEB372" w14:textId="77777777" w:rsidR="007F4CE1" w:rsidRPr="001E01C6" w:rsidRDefault="007F4CE1" w:rsidP="00742086">
            <w:pPr>
              <w:spacing w:after="0" w:line="240" w:lineRule="auto"/>
              <w:rPr>
                <w:rFonts w:ascii="Arial" w:hAnsi="Arial" w:cs="Arial"/>
                <w:b/>
                <w:bCs/>
                <w:sz w:val="16"/>
                <w:szCs w:val="16"/>
                <w:lang w:val="en-US" w:eastAsia="en-US"/>
              </w:rPr>
            </w:pPr>
          </w:p>
        </w:tc>
        <w:tc>
          <w:tcPr>
            <w:tcW w:w="834" w:type="dxa"/>
            <w:tcBorders>
              <w:top w:val="nil"/>
              <w:left w:val="nil"/>
              <w:bottom w:val="single" w:sz="4" w:space="0" w:color="6C6864"/>
              <w:right w:val="single" w:sz="4" w:space="0" w:color="6C6864"/>
            </w:tcBorders>
            <w:shd w:val="clear" w:color="000000" w:fill="66AACD"/>
            <w:vAlign w:val="center"/>
            <w:hideMark/>
          </w:tcPr>
          <w:p w14:paraId="3567017E"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Natural gas</w:t>
            </w:r>
          </w:p>
        </w:tc>
        <w:tc>
          <w:tcPr>
            <w:tcW w:w="815" w:type="dxa"/>
            <w:tcBorders>
              <w:top w:val="nil"/>
              <w:left w:val="nil"/>
              <w:bottom w:val="single" w:sz="4" w:space="0" w:color="6C6864"/>
              <w:right w:val="single" w:sz="4" w:space="0" w:color="6C6864"/>
            </w:tcBorders>
            <w:shd w:val="clear" w:color="000000" w:fill="66AACD"/>
            <w:vAlign w:val="center"/>
            <w:hideMark/>
          </w:tcPr>
          <w:p w14:paraId="4BB119E3"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Liquid gas</w:t>
            </w:r>
          </w:p>
        </w:tc>
        <w:tc>
          <w:tcPr>
            <w:tcW w:w="797" w:type="dxa"/>
            <w:tcBorders>
              <w:top w:val="nil"/>
              <w:left w:val="nil"/>
              <w:bottom w:val="single" w:sz="4" w:space="0" w:color="6C6864"/>
              <w:right w:val="single" w:sz="4" w:space="0" w:color="6C6864"/>
            </w:tcBorders>
            <w:shd w:val="clear" w:color="000000" w:fill="66AACD"/>
            <w:vAlign w:val="center"/>
            <w:hideMark/>
          </w:tcPr>
          <w:p w14:paraId="643AEE82"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Heating oil</w:t>
            </w:r>
          </w:p>
        </w:tc>
        <w:tc>
          <w:tcPr>
            <w:tcW w:w="927" w:type="dxa"/>
            <w:tcBorders>
              <w:top w:val="nil"/>
              <w:left w:val="nil"/>
              <w:bottom w:val="single" w:sz="4" w:space="0" w:color="6C6864"/>
              <w:right w:val="single" w:sz="4" w:space="0" w:color="6C6864"/>
            </w:tcBorders>
            <w:shd w:val="clear" w:color="000000" w:fill="66AACD"/>
            <w:vAlign w:val="center"/>
            <w:hideMark/>
          </w:tcPr>
          <w:p w14:paraId="43DCD149"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Diesel</w:t>
            </w:r>
          </w:p>
        </w:tc>
        <w:tc>
          <w:tcPr>
            <w:tcW w:w="983" w:type="dxa"/>
            <w:tcBorders>
              <w:top w:val="nil"/>
              <w:left w:val="nil"/>
              <w:bottom w:val="single" w:sz="4" w:space="0" w:color="6C6864"/>
              <w:right w:val="single" w:sz="4" w:space="0" w:color="6C6864"/>
            </w:tcBorders>
            <w:shd w:val="clear" w:color="000000" w:fill="66AACD"/>
            <w:vAlign w:val="center"/>
            <w:hideMark/>
          </w:tcPr>
          <w:p w14:paraId="0955B21E"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Gasoline</w:t>
            </w:r>
          </w:p>
        </w:tc>
        <w:tc>
          <w:tcPr>
            <w:tcW w:w="830" w:type="dxa"/>
            <w:tcBorders>
              <w:top w:val="nil"/>
              <w:left w:val="nil"/>
              <w:bottom w:val="single" w:sz="4" w:space="0" w:color="6C6864"/>
              <w:right w:val="single" w:sz="4" w:space="0" w:color="6C6864"/>
            </w:tcBorders>
            <w:shd w:val="clear" w:color="000000" w:fill="66AACD"/>
            <w:vAlign w:val="center"/>
            <w:hideMark/>
          </w:tcPr>
          <w:p w14:paraId="379EDF26"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Lignite</w:t>
            </w:r>
          </w:p>
        </w:tc>
        <w:tc>
          <w:tcPr>
            <w:tcW w:w="722" w:type="dxa"/>
            <w:tcBorders>
              <w:top w:val="nil"/>
              <w:left w:val="nil"/>
              <w:bottom w:val="single" w:sz="4" w:space="0" w:color="6C6864"/>
              <w:right w:val="single" w:sz="4" w:space="0" w:color="6C6864"/>
            </w:tcBorders>
            <w:shd w:val="clear" w:color="000000" w:fill="66AACD"/>
            <w:vAlign w:val="center"/>
            <w:hideMark/>
          </w:tcPr>
          <w:p w14:paraId="64E37BC3"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Coal</w:t>
            </w:r>
          </w:p>
        </w:tc>
        <w:tc>
          <w:tcPr>
            <w:tcW w:w="666" w:type="dxa"/>
            <w:tcBorders>
              <w:top w:val="nil"/>
              <w:left w:val="nil"/>
              <w:bottom w:val="single" w:sz="4" w:space="0" w:color="6C6864"/>
              <w:right w:val="single" w:sz="4" w:space="0" w:color="6C6864"/>
            </w:tcBorders>
            <w:shd w:val="clear" w:color="000000" w:fill="66AACD"/>
            <w:vAlign w:val="center"/>
            <w:hideMark/>
          </w:tcPr>
          <w:p w14:paraId="060FC235"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Other fossil fuels</w:t>
            </w:r>
          </w:p>
        </w:tc>
        <w:tc>
          <w:tcPr>
            <w:tcW w:w="731" w:type="dxa"/>
            <w:tcBorders>
              <w:top w:val="nil"/>
              <w:left w:val="nil"/>
              <w:bottom w:val="single" w:sz="4" w:space="0" w:color="6C6864"/>
              <w:right w:val="single" w:sz="4" w:space="0" w:color="6C6864"/>
            </w:tcBorders>
            <w:shd w:val="clear" w:color="000000" w:fill="66AACD"/>
            <w:vAlign w:val="center"/>
            <w:hideMark/>
          </w:tcPr>
          <w:p w14:paraId="259A20FB"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Plant oil</w:t>
            </w:r>
          </w:p>
        </w:tc>
        <w:tc>
          <w:tcPr>
            <w:tcW w:w="629" w:type="dxa"/>
            <w:tcBorders>
              <w:top w:val="nil"/>
              <w:left w:val="nil"/>
              <w:bottom w:val="single" w:sz="4" w:space="0" w:color="6C6864"/>
              <w:right w:val="single" w:sz="4" w:space="0" w:color="6C6864"/>
            </w:tcBorders>
            <w:shd w:val="clear" w:color="000000" w:fill="66AACD"/>
            <w:vAlign w:val="center"/>
            <w:hideMark/>
          </w:tcPr>
          <w:p w14:paraId="24EFF9BA"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 xml:space="preserve">Biofuel </w:t>
            </w:r>
          </w:p>
        </w:tc>
        <w:tc>
          <w:tcPr>
            <w:tcW w:w="918" w:type="dxa"/>
            <w:tcBorders>
              <w:top w:val="nil"/>
              <w:left w:val="nil"/>
              <w:bottom w:val="single" w:sz="4" w:space="0" w:color="6C6864"/>
              <w:right w:val="single" w:sz="4" w:space="0" w:color="6C6864"/>
            </w:tcBorders>
            <w:shd w:val="clear" w:color="000000" w:fill="66AACD"/>
            <w:vAlign w:val="center"/>
            <w:hideMark/>
          </w:tcPr>
          <w:p w14:paraId="254C256B" w14:textId="77777777" w:rsidR="007F4CE1" w:rsidRPr="001E01C6" w:rsidRDefault="007F4CE1" w:rsidP="00742086">
            <w:pPr>
              <w:spacing w:after="0" w:line="240" w:lineRule="auto"/>
              <w:jc w:val="center"/>
              <w:rPr>
                <w:rFonts w:ascii="Arial" w:hAnsi="Arial" w:cs="Arial"/>
                <w:b/>
                <w:bCs/>
                <w:sz w:val="16"/>
                <w:szCs w:val="16"/>
                <w:lang w:val="en-US" w:eastAsia="en-US"/>
              </w:rPr>
            </w:pPr>
            <w:proofErr w:type="gramStart"/>
            <w:r w:rsidRPr="001E01C6">
              <w:rPr>
                <w:rFonts w:ascii="Arial" w:hAnsi="Arial" w:cs="Arial"/>
                <w:b/>
                <w:bCs/>
                <w:sz w:val="16"/>
                <w:szCs w:val="16"/>
                <w:lang w:val="en-US" w:eastAsia="en-US"/>
              </w:rPr>
              <w:t>Other</w:t>
            </w:r>
            <w:proofErr w:type="gramEnd"/>
            <w:r w:rsidRPr="001E01C6">
              <w:rPr>
                <w:rFonts w:ascii="Arial" w:hAnsi="Arial" w:cs="Arial"/>
                <w:b/>
                <w:bCs/>
                <w:sz w:val="16"/>
                <w:szCs w:val="16"/>
                <w:lang w:val="en-US" w:eastAsia="en-US"/>
              </w:rPr>
              <w:t xml:space="preserve"> biomass</w:t>
            </w:r>
          </w:p>
        </w:tc>
        <w:tc>
          <w:tcPr>
            <w:tcW w:w="731" w:type="dxa"/>
            <w:tcBorders>
              <w:top w:val="nil"/>
              <w:left w:val="nil"/>
              <w:bottom w:val="single" w:sz="4" w:space="0" w:color="6C6864"/>
              <w:right w:val="single" w:sz="4" w:space="0" w:color="6C6864"/>
            </w:tcBorders>
            <w:shd w:val="clear" w:color="000000" w:fill="66AACD"/>
            <w:vAlign w:val="center"/>
            <w:hideMark/>
          </w:tcPr>
          <w:p w14:paraId="75445355"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Solar thermal</w:t>
            </w:r>
          </w:p>
        </w:tc>
        <w:tc>
          <w:tcPr>
            <w:tcW w:w="741" w:type="dxa"/>
            <w:tcBorders>
              <w:top w:val="nil"/>
              <w:left w:val="nil"/>
              <w:bottom w:val="single" w:sz="4" w:space="0" w:color="6C6864"/>
              <w:right w:val="single" w:sz="4" w:space="0" w:color="6C6864"/>
            </w:tcBorders>
            <w:shd w:val="clear" w:color="000000" w:fill="66AACD"/>
            <w:vAlign w:val="center"/>
            <w:hideMark/>
          </w:tcPr>
          <w:p w14:paraId="593DDF6F"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Geothermal</w:t>
            </w:r>
          </w:p>
        </w:tc>
      </w:tr>
      <w:tr w:rsidR="007F4CE1" w:rsidRPr="001E01C6" w14:paraId="46DCE266" w14:textId="77777777" w:rsidTr="00742086">
        <w:trPr>
          <w:trHeight w:val="360"/>
        </w:trPr>
        <w:tc>
          <w:tcPr>
            <w:tcW w:w="698" w:type="dxa"/>
            <w:tcBorders>
              <w:top w:val="nil"/>
              <w:left w:val="single" w:sz="4" w:space="0" w:color="6C6864"/>
              <w:bottom w:val="single" w:sz="4" w:space="0" w:color="6C6864"/>
              <w:right w:val="single" w:sz="4" w:space="0" w:color="6C6864"/>
            </w:tcBorders>
            <w:shd w:val="clear" w:color="000000" w:fill="DCE6F1"/>
            <w:noWrap/>
            <w:vAlign w:val="center"/>
            <w:hideMark/>
          </w:tcPr>
          <w:p w14:paraId="78705D02"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0,323</w:t>
            </w:r>
          </w:p>
        </w:tc>
        <w:tc>
          <w:tcPr>
            <w:tcW w:w="1192" w:type="dxa"/>
            <w:tcBorders>
              <w:top w:val="nil"/>
              <w:left w:val="nil"/>
              <w:bottom w:val="single" w:sz="4" w:space="0" w:color="6C6864"/>
              <w:right w:val="single" w:sz="4" w:space="0" w:color="6C6864"/>
            </w:tcBorders>
            <w:shd w:val="clear" w:color="000000" w:fill="DCE6F1"/>
            <w:noWrap/>
            <w:vAlign w:val="center"/>
            <w:hideMark/>
          </w:tcPr>
          <w:p w14:paraId="09AD1555"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0,323</w:t>
            </w:r>
          </w:p>
        </w:tc>
        <w:tc>
          <w:tcPr>
            <w:tcW w:w="853" w:type="dxa"/>
            <w:tcBorders>
              <w:top w:val="nil"/>
              <w:left w:val="nil"/>
              <w:bottom w:val="single" w:sz="4" w:space="0" w:color="6C6864"/>
              <w:right w:val="single" w:sz="4" w:space="0" w:color="6C6864"/>
            </w:tcBorders>
            <w:shd w:val="clear" w:color="000000" w:fill="DCE6F1"/>
            <w:noWrap/>
            <w:vAlign w:val="center"/>
            <w:hideMark/>
          </w:tcPr>
          <w:p w14:paraId="50181E3E"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c>
          <w:tcPr>
            <w:tcW w:w="834" w:type="dxa"/>
            <w:tcBorders>
              <w:top w:val="nil"/>
              <w:left w:val="nil"/>
              <w:bottom w:val="single" w:sz="4" w:space="0" w:color="6C6864"/>
              <w:right w:val="single" w:sz="4" w:space="0" w:color="6C6864"/>
            </w:tcBorders>
            <w:shd w:val="clear" w:color="000000" w:fill="DCE6F1"/>
            <w:noWrap/>
            <w:vAlign w:val="center"/>
            <w:hideMark/>
          </w:tcPr>
          <w:p w14:paraId="484D0B7C"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c>
          <w:tcPr>
            <w:tcW w:w="815" w:type="dxa"/>
            <w:tcBorders>
              <w:top w:val="nil"/>
              <w:left w:val="nil"/>
              <w:bottom w:val="single" w:sz="4" w:space="0" w:color="6C6864"/>
              <w:right w:val="single" w:sz="4" w:space="0" w:color="6C6864"/>
            </w:tcBorders>
            <w:shd w:val="clear" w:color="000000" w:fill="DCE6F1"/>
            <w:noWrap/>
            <w:vAlign w:val="center"/>
            <w:hideMark/>
          </w:tcPr>
          <w:p w14:paraId="4EBE8184"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0,244</w:t>
            </w:r>
          </w:p>
        </w:tc>
        <w:tc>
          <w:tcPr>
            <w:tcW w:w="797" w:type="dxa"/>
            <w:tcBorders>
              <w:top w:val="nil"/>
              <w:left w:val="nil"/>
              <w:bottom w:val="single" w:sz="4" w:space="0" w:color="6C6864"/>
              <w:right w:val="single" w:sz="4" w:space="0" w:color="6C6864"/>
            </w:tcBorders>
            <w:shd w:val="clear" w:color="000000" w:fill="DCE6F1"/>
            <w:noWrap/>
            <w:vAlign w:val="center"/>
            <w:hideMark/>
          </w:tcPr>
          <w:p w14:paraId="7D7B8D40"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0,264</w:t>
            </w:r>
          </w:p>
        </w:tc>
        <w:tc>
          <w:tcPr>
            <w:tcW w:w="927" w:type="dxa"/>
            <w:tcBorders>
              <w:top w:val="nil"/>
              <w:left w:val="nil"/>
              <w:bottom w:val="single" w:sz="4" w:space="0" w:color="6C6864"/>
              <w:right w:val="single" w:sz="4" w:space="0" w:color="6C6864"/>
            </w:tcBorders>
            <w:shd w:val="clear" w:color="000000" w:fill="DCE6F1"/>
            <w:noWrap/>
            <w:vAlign w:val="center"/>
            <w:hideMark/>
          </w:tcPr>
          <w:p w14:paraId="07E6CA76"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c>
          <w:tcPr>
            <w:tcW w:w="983" w:type="dxa"/>
            <w:tcBorders>
              <w:top w:val="nil"/>
              <w:left w:val="nil"/>
              <w:bottom w:val="single" w:sz="4" w:space="0" w:color="6C6864"/>
              <w:right w:val="single" w:sz="4" w:space="0" w:color="6C6864"/>
            </w:tcBorders>
            <w:shd w:val="clear" w:color="000000" w:fill="DCE6F1"/>
            <w:noWrap/>
            <w:vAlign w:val="center"/>
            <w:hideMark/>
          </w:tcPr>
          <w:p w14:paraId="3BF1CE3C"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c>
          <w:tcPr>
            <w:tcW w:w="830" w:type="dxa"/>
            <w:tcBorders>
              <w:top w:val="nil"/>
              <w:left w:val="nil"/>
              <w:bottom w:val="single" w:sz="4" w:space="0" w:color="6C6864"/>
              <w:right w:val="single" w:sz="4" w:space="0" w:color="6C6864"/>
            </w:tcBorders>
            <w:shd w:val="clear" w:color="000000" w:fill="DCE6F1"/>
            <w:noWrap/>
            <w:vAlign w:val="center"/>
            <w:hideMark/>
          </w:tcPr>
          <w:p w14:paraId="4681A492"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c>
          <w:tcPr>
            <w:tcW w:w="722" w:type="dxa"/>
            <w:tcBorders>
              <w:top w:val="nil"/>
              <w:left w:val="nil"/>
              <w:bottom w:val="single" w:sz="4" w:space="0" w:color="6C6864"/>
              <w:right w:val="single" w:sz="4" w:space="0" w:color="6C6864"/>
            </w:tcBorders>
            <w:shd w:val="clear" w:color="000000" w:fill="DCE6F1"/>
            <w:noWrap/>
            <w:vAlign w:val="center"/>
            <w:hideMark/>
          </w:tcPr>
          <w:p w14:paraId="76934788"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c>
          <w:tcPr>
            <w:tcW w:w="666" w:type="dxa"/>
            <w:tcBorders>
              <w:top w:val="nil"/>
              <w:left w:val="nil"/>
              <w:bottom w:val="single" w:sz="4" w:space="0" w:color="6C6864"/>
              <w:right w:val="single" w:sz="4" w:space="0" w:color="6C6864"/>
            </w:tcBorders>
            <w:shd w:val="clear" w:color="000000" w:fill="DCE6F1"/>
            <w:noWrap/>
            <w:vAlign w:val="center"/>
            <w:hideMark/>
          </w:tcPr>
          <w:p w14:paraId="0B2C2C16"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c>
          <w:tcPr>
            <w:tcW w:w="731" w:type="dxa"/>
            <w:tcBorders>
              <w:top w:val="nil"/>
              <w:left w:val="nil"/>
              <w:bottom w:val="single" w:sz="4" w:space="0" w:color="6C6864"/>
              <w:right w:val="single" w:sz="4" w:space="0" w:color="6C6864"/>
            </w:tcBorders>
            <w:shd w:val="clear" w:color="000000" w:fill="DCE6F1"/>
            <w:noWrap/>
            <w:vAlign w:val="center"/>
            <w:hideMark/>
          </w:tcPr>
          <w:p w14:paraId="38A40F40"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c>
          <w:tcPr>
            <w:tcW w:w="629" w:type="dxa"/>
            <w:tcBorders>
              <w:top w:val="nil"/>
              <w:left w:val="nil"/>
              <w:bottom w:val="single" w:sz="4" w:space="0" w:color="6C6864"/>
              <w:right w:val="single" w:sz="4" w:space="0" w:color="6C6864"/>
            </w:tcBorders>
            <w:shd w:val="clear" w:color="000000" w:fill="DCE6F1"/>
            <w:noWrap/>
            <w:vAlign w:val="center"/>
            <w:hideMark/>
          </w:tcPr>
          <w:p w14:paraId="08E9DA21"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c>
          <w:tcPr>
            <w:tcW w:w="918" w:type="dxa"/>
            <w:tcBorders>
              <w:top w:val="nil"/>
              <w:left w:val="nil"/>
              <w:bottom w:val="single" w:sz="4" w:space="0" w:color="6C6864"/>
              <w:right w:val="single" w:sz="4" w:space="0" w:color="6C6864"/>
            </w:tcBorders>
            <w:shd w:val="clear" w:color="000000" w:fill="DCE6F1"/>
            <w:noWrap/>
            <w:vAlign w:val="center"/>
            <w:hideMark/>
          </w:tcPr>
          <w:p w14:paraId="0E61C93B"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c>
          <w:tcPr>
            <w:tcW w:w="731" w:type="dxa"/>
            <w:tcBorders>
              <w:top w:val="nil"/>
              <w:left w:val="nil"/>
              <w:bottom w:val="single" w:sz="4" w:space="0" w:color="6C6864"/>
              <w:right w:val="single" w:sz="4" w:space="0" w:color="6C6864"/>
            </w:tcBorders>
            <w:shd w:val="clear" w:color="000000" w:fill="DCE6F1"/>
            <w:noWrap/>
            <w:vAlign w:val="center"/>
            <w:hideMark/>
          </w:tcPr>
          <w:p w14:paraId="58719A79"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c>
          <w:tcPr>
            <w:tcW w:w="741" w:type="dxa"/>
            <w:tcBorders>
              <w:top w:val="nil"/>
              <w:left w:val="nil"/>
              <w:bottom w:val="single" w:sz="4" w:space="0" w:color="6C6864"/>
              <w:right w:val="single" w:sz="4" w:space="0" w:color="6C6864"/>
            </w:tcBorders>
            <w:shd w:val="clear" w:color="000000" w:fill="DCE6F1"/>
            <w:noWrap/>
            <w:vAlign w:val="center"/>
            <w:hideMark/>
          </w:tcPr>
          <w:p w14:paraId="193FFD16" w14:textId="77777777" w:rsidR="007F4CE1" w:rsidRPr="001E01C6" w:rsidRDefault="007F4CE1" w:rsidP="00742086">
            <w:pPr>
              <w:spacing w:after="0" w:line="240" w:lineRule="auto"/>
              <w:jc w:val="center"/>
              <w:rPr>
                <w:rFonts w:ascii="Arial" w:hAnsi="Arial" w:cs="Arial"/>
                <w:b/>
                <w:bCs/>
                <w:sz w:val="16"/>
                <w:szCs w:val="16"/>
                <w:lang w:val="en-US" w:eastAsia="en-US"/>
              </w:rPr>
            </w:pPr>
            <w:r w:rsidRPr="001E01C6">
              <w:rPr>
                <w:rFonts w:ascii="Arial" w:hAnsi="Arial" w:cs="Arial"/>
                <w:b/>
                <w:bCs/>
                <w:sz w:val="16"/>
                <w:szCs w:val="16"/>
                <w:lang w:val="en-US" w:eastAsia="en-US"/>
              </w:rPr>
              <w:t>0,000</w:t>
            </w:r>
          </w:p>
        </w:tc>
      </w:tr>
      <w:tr w:rsidR="007F4CE1" w:rsidRPr="001E01C6" w14:paraId="4DA64701" w14:textId="77777777" w:rsidTr="00742086">
        <w:trPr>
          <w:trHeight w:val="360"/>
        </w:trPr>
        <w:tc>
          <w:tcPr>
            <w:tcW w:w="698" w:type="dxa"/>
            <w:tcBorders>
              <w:top w:val="nil"/>
              <w:left w:val="single" w:sz="4" w:space="0" w:color="6C6864"/>
              <w:bottom w:val="single" w:sz="4" w:space="0" w:color="6C6864"/>
              <w:right w:val="single" w:sz="4" w:space="0" w:color="6C6864"/>
            </w:tcBorders>
            <w:shd w:val="clear" w:color="000000" w:fill="8EB747"/>
            <w:noWrap/>
            <w:vAlign w:val="center"/>
            <w:hideMark/>
          </w:tcPr>
          <w:p w14:paraId="22E63FBE"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0,158</w:t>
            </w:r>
          </w:p>
        </w:tc>
        <w:tc>
          <w:tcPr>
            <w:tcW w:w="1192" w:type="dxa"/>
            <w:tcBorders>
              <w:top w:val="nil"/>
              <w:left w:val="nil"/>
              <w:bottom w:val="single" w:sz="4" w:space="0" w:color="6C6864"/>
              <w:right w:val="single" w:sz="4" w:space="0" w:color="6C6864"/>
            </w:tcBorders>
            <w:shd w:val="clear" w:color="000000" w:fill="8EB747"/>
            <w:noWrap/>
            <w:vAlign w:val="center"/>
            <w:hideMark/>
          </w:tcPr>
          <w:p w14:paraId="762829F2"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0,158</w:t>
            </w:r>
          </w:p>
        </w:tc>
        <w:tc>
          <w:tcPr>
            <w:tcW w:w="853" w:type="dxa"/>
            <w:tcBorders>
              <w:top w:val="nil"/>
              <w:left w:val="nil"/>
              <w:bottom w:val="single" w:sz="4" w:space="0" w:color="6C6864"/>
              <w:right w:val="single" w:sz="4" w:space="0" w:color="6C6864"/>
            </w:tcBorders>
            <w:shd w:val="clear" w:color="000000" w:fill="8EB747"/>
            <w:noWrap/>
            <w:vAlign w:val="center"/>
            <w:hideMark/>
          </w:tcPr>
          <w:p w14:paraId="7DDE2584"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 </w:t>
            </w:r>
          </w:p>
        </w:tc>
        <w:tc>
          <w:tcPr>
            <w:tcW w:w="834" w:type="dxa"/>
            <w:tcBorders>
              <w:top w:val="nil"/>
              <w:left w:val="nil"/>
              <w:bottom w:val="single" w:sz="4" w:space="0" w:color="6C6864"/>
              <w:right w:val="single" w:sz="4" w:space="0" w:color="6C6864"/>
            </w:tcBorders>
            <w:shd w:val="clear" w:color="000000" w:fill="8EB747"/>
            <w:noWrap/>
            <w:vAlign w:val="center"/>
            <w:hideMark/>
          </w:tcPr>
          <w:p w14:paraId="4E523BDA"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0,202</w:t>
            </w:r>
          </w:p>
        </w:tc>
        <w:tc>
          <w:tcPr>
            <w:tcW w:w="815" w:type="dxa"/>
            <w:tcBorders>
              <w:top w:val="nil"/>
              <w:left w:val="nil"/>
              <w:bottom w:val="single" w:sz="4" w:space="0" w:color="6C6864"/>
              <w:right w:val="single" w:sz="4" w:space="0" w:color="6C6864"/>
            </w:tcBorders>
            <w:shd w:val="clear" w:color="000000" w:fill="8EB747"/>
            <w:noWrap/>
            <w:vAlign w:val="center"/>
            <w:hideMark/>
          </w:tcPr>
          <w:p w14:paraId="43CF009F"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0,227</w:t>
            </w:r>
          </w:p>
        </w:tc>
        <w:tc>
          <w:tcPr>
            <w:tcW w:w="797" w:type="dxa"/>
            <w:tcBorders>
              <w:top w:val="nil"/>
              <w:left w:val="nil"/>
              <w:bottom w:val="single" w:sz="4" w:space="0" w:color="6C6864"/>
              <w:right w:val="single" w:sz="4" w:space="0" w:color="6C6864"/>
            </w:tcBorders>
            <w:shd w:val="clear" w:color="000000" w:fill="8EB747"/>
            <w:noWrap/>
            <w:vAlign w:val="center"/>
            <w:hideMark/>
          </w:tcPr>
          <w:p w14:paraId="7757B936"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0,267</w:t>
            </w:r>
          </w:p>
        </w:tc>
        <w:tc>
          <w:tcPr>
            <w:tcW w:w="927" w:type="dxa"/>
            <w:tcBorders>
              <w:top w:val="nil"/>
              <w:left w:val="nil"/>
              <w:bottom w:val="single" w:sz="4" w:space="0" w:color="6C6864"/>
              <w:right w:val="single" w:sz="4" w:space="0" w:color="6C6864"/>
            </w:tcBorders>
            <w:shd w:val="clear" w:color="000000" w:fill="8EB747"/>
            <w:noWrap/>
            <w:vAlign w:val="center"/>
            <w:hideMark/>
          </w:tcPr>
          <w:p w14:paraId="7B694A91"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0,267</w:t>
            </w:r>
          </w:p>
        </w:tc>
        <w:tc>
          <w:tcPr>
            <w:tcW w:w="983" w:type="dxa"/>
            <w:tcBorders>
              <w:top w:val="nil"/>
              <w:left w:val="nil"/>
              <w:bottom w:val="single" w:sz="4" w:space="0" w:color="6C6864"/>
              <w:right w:val="single" w:sz="4" w:space="0" w:color="6C6864"/>
            </w:tcBorders>
            <w:shd w:val="clear" w:color="000000" w:fill="8EB747"/>
            <w:noWrap/>
            <w:vAlign w:val="center"/>
            <w:hideMark/>
          </w:tcPr>
          <w:p w14:paraId="115EA9EB"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0,249</w:t>
            </w:r>
          </w:p>
        </w:tc>
        <w:tc>
          <w:tcPr>
            <w:tcW w:w="830" w:type="dxa"/>
            <w:tcBorders>
              <w:top w:val="nil"/>
              <w:left w:val="nil"/>
              <w:bottom w:val="single" w:sz="4" w:space="0" w:color="6C6864"/>
              <w:right w:val="single" w:sz="4" w:space="0" w:color="6C6864"/>
            </w:tcBorders>
            <w:shd w:val="clear" w:color="000000" w:fill="8EB747"/>
            <w:noWrap/>
            <w:vAlign w:val="center"/>
            <w:hideMark/>
          </w:tcPr>
          <w:p w14:paraId="77A95EFB"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 </w:t>
            </w:r>
          </w:p>
        </w:tc>
        <w:tc>
          <w:tcPr>
            <w:tcW w:w="722" w:type="dxa"/>
            <w:tcBorders>
              <w:top w:val="nil"/>
              <w:left w:val="nil"/>
              <w:bottom w:val="single" w:sz="4" w:space="0" w:color="6C6864"/>
              <w:right w:val="single" w:sz="4" w:space="0" w:color="6C6864"/>
            </w:tcBorders>
            <w:shd w:val="clear" w:color="000000" w:fill="8EB747"/>
            <w:noWrap/>
            <w:vAlign w:val="center"/>
            <w:hideMark/>
          </w:tcPr>
          <w:p w14:paraId="37ADAF62"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 </w:t>
            </w:r>
          </w:p>
        </w:tc>
        <w:tc>
          <w:tcPr>
            <w:tcW w:w="666" w:type="dxa"/>
            <w:tcBorders>
              <w:top w:val="nil"/>
              <w:left w:val="nil"/>
              <w:bottom w:val="single" w:sz="4" w:space="0" w:color="6C6864"/>
              <w:right w:val="single" w:sz="4" w:space="0" w:color="6C6864"/>
            </w:tcBorders>
            <w:shd w:val="clear" w:color="000000" w:fill="8EB747"/>
            <w:noWrap/>
            <w:vAlign w:val="center"/>
            <w:hideMark/>
          </w:tcPr>
          <w:p w14:paraId="1D2E012B"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 </w:t>
            </w:r>
          </w:p>
        </w:tc>
        <w:tc>
          <w:tcPr>
            <w:tcW w:w="731" w:type="dxa"/>
            <w:tcBorders>
              <w:top w:val="nil"/>
              <w:left w:val="nil"/>
              <w:bottom w:val="single" w:sz="4" w:space="0" w:color="6C6864"/>
              <w:right w:val="single" w:sz="4" w:space="0" w:color="6C6864"/>
            </w:tcBorders>
            <w:shd w:val="clear" w:color="000000" w:fill="8EB747"/>
            <w:noWrap/>
            <w:vAlign w:val="center"/>
            <w:hideMark/>
          </w:tcPr>
          <w:p w14:paraId="08EF9BCD"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 </w:t>
            </w:r>
          </w:p>
        </w:tc>
        <w:tc>
          <w:tcPr>
            <w:tcW w:w="629" w:type="dxa"/>
            <w:tcBorders>
              <w:top w:val="nil"/>
              <w:left w:val="nil"/>
              <w:bottom w:val="single" w:sz="4" w:space="0" w:color="6C6864"/>
              <w:right w:val="single" w:sz="4" w:space="0" w:color="6C6864"/>
            </w:tcBorders>
            <w:shd w:val="clear" w:color="000000" w:fill="8EB747"/>
            <w:noWrap/>
            <w:vAlign w:val="center"/>
            <w:hideMark/>
          </w:tcPr>
          <w:p w14:paraId="6B38BE65"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 </w:t>
            </w:r>
          </w:p>
        </w:tc>
        <w:tc>
          <w:tcPr>
            <w:tcW w:w="918" w:type="dxa"/>
            <w:tcBorders>
              <w:top w:val="nil"/>
              <w:left w:val="nil"/>
              <w:bottom w:val="single" w:sz="4" w:space="0" w:color="6C6864"/>
              <w:right w:val="single" w:sz="4" w:space="0" w:color="6C6864"/>
            </w:tcBorders>
            <w:shd w:val="clear" w:color="000000" w:fill="8EB747"/>
            <w:noWrap/>
            <w:vAlign w:val="center"/>
            <w:hideMark/>
          </w:tcPr>
          <w:p w14:paraId="7AED07FF"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0,000</w:t>
            </w:r>
          </w:p>
        </w:tc>
        <w:tc>
          <w:tcPr>
            <w:tcW w:w="731" w:type="dxa"/>
            <w:tcBorders>
              <w:top w:val="nil"/>
              <w:left w:val="nil"/>
              <w:bottom w:val="single" w:sz="4" w:space="0" w:color="6C6864"/>
              <w:right w:val="single" w:sz="4" w:space="0" w:color="6C6864"/>
            </w:tcBorders>
            <w:shd w:val="clear" w:color="000000" w:fill="8EB747"/>
            <w:noWrap/>
            <w:vAlign w:val="center"/>
            <w:hideMark/>
          </w:tcPr>
          <w:p w14:paraId="7258C3A2"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 </w:t>
            </w:r>
          </w:p>
        </w:tc>
        <w:tc>
          <w:tcPr>
            <w:tcW w:w="741" w:type="dxa"/>
            <w:tcBorders>
              <w:top w:val="nil"/>
              <w:left w:val="nil"/>
              <w:bottom w:val="single" w:sz="4" w:space="0" w:color="6C6864"/>
              <w:right w:val="single" w:sz="4" w:space="0" w:color="6C6864"/>
            </w:tcBorders>
            <w:shd w:val="clear" w:color="000000" w:fill="8EB747"/>
            <w:noWrap/>
            <w:vAlign w:val="center"/>
            <w:hideMark/>
          </w:tcPr>
          <w:p w14:paraId="525623BF" w14:textId="77777777" w:rsidR="007F4CE1" w:rsidRPr="001E01C6" w:rsidRDefault="007F4CE1" w:rsidP="00742086">
            <w:pPr>
              <w:spacing w:after="0" w:line="240" w:lineRule="auto"/>
              <w:jc w:val="center"/>
              <w:rPr>
                <w:rFonts w:ascii="Arial" w:hAnsi="Arial" w:cs="Arial"/>
                <w:b/>
                <w:bCs/>
                <w:color w:val="FFFFFF"/>
                <w:sz w:val="16"/>
                <w:szCs w:val="16"/>
                <w:lang w:val="en-US" w:eastAsia="en-US"/>
              </w:rPr>
            </w:pPr>
            <w:r w:rsidRPr="001E01C6">
              <w:rPr>
                <w:rFonts w:ascii="Arial" w:hAnsi="Arial" w:cs="Arial"/>
                <w:b/>
                <w:bCs/>
                <w:color w:val="FFFFFF"/>
                <w:sz w:val="16"/>
                <w:szCs w:val="16"/>
                <w:lang w:val="en-US" w:eastAsia="en-US"/>
              </w:rPr>
              <w:t> </w:t>
            </w:r>
          </w:p>
        </w:tc>
      </w:tr>
    </w:tbl>
    <w:p w14:paraId="25986B65" w14:textId="0E32F78C" w:rsidR="00686B17" w:rsidRPr="00686B17" w:rsidRDefault="00686B17" w:rsidP="00686B17">
      <w:pPr>
        <w:spacing w:after="160" w:line="259" w:lineRule="auto"/>
        <w:jc w:val="both"/>
        <w:rPr>
          <w:rFonts w:ascii="Century Gothic" w:eastAsia="Calibri" w:hAnsi="Century Gothic"/>
          <w:color w:val="000000"/>
          <w:sz w:val="20"/>
          <w:szCs w:val="20"/>
          <w:lang w:val="en-US" w:eastAsia="en-US"/>
        </w:rPr>
      </w:pPr>
    </w:p>
    <w:p w14:paraId="635CC92C" w14:textId="77777777" w:rsidR="00686B17" w:rsidRPr="00686B17" w:rsidRDefault="00686B17" w:rsidP="00686B17">
      <w:pPr>
        <w:spacing w:after="160" w:line="259" w:lineRule="auto"/>
        <w:jc w:val="both"/>
        <w:rPr>
          <w:rFonts w:ascii="Century Gothic" w:eastAsia="Calibri" w:hAnsi="Century Gothic"/>
          <w:color w:val="000000"/>
          <w:sz w:val="20"/>
          <w:szCs w:val="20"/>
          <w:lang w:val="en-US" w:eastAsia="en-US"/>
        </w:rPr>
      </w:pPr>
      <w:r w:rsidRPr="00686B17">
        <w:rPr>
          <w:rFonts w:ascii="Century Gothic" w:eastAsia="Calibri" w:hAnsi="Century Gothic"/>
          <w:color w:val="000000"/>
          <w:sz w:val="20"/>
          <w:szCs w:val="20"/>
          <w:lang w:val="en-US" w:eastAsia="en-US"/>
        </w:rPr>
        <w:t xml:space="preserve">Taking into account the guidelines published by the Covenant of Mayors for Climate and Energy as well as the EC Joint Research Centre on how to develop a </w:t>
      </w:r>
      <w:proofErr w:type="spellStart"/>
      <w:r w:rsidRPr="00686B17">
        <w:rPr>
          <w:rFonts w:ascii="Century Gothic" w:eastAsia="Calibri" w:hAnsi="Century Gothic"/>
          <w:color w:val="000000"/>
          <w:sz w:val="20"/>
          <w:szCs w:val="20"/>
          <w:lang w:val="en-US" w:eastAsia="en-US"/>
        </w:rPr>
        <w:t>SEAP</w:t>
      </w:r>
      <w:proofErr w:type="spellEnd"/>
      <w:r w:rsidRPr="00686B17">
        <w:rPr>
          <w:rFonts w:ascii="Century Gothic" w:eastAsia="Calibri" w:hAnsi="Century Gothic"/>
          <w:color w:val="000000"/>
          <w:sz w:val="20"/>
          <w:szCs w:val="20"/>
          <w:lang w:val="en-US" w:eastAsia="en-US"/>
        </w:rPr>
        <w:t>/</w:t>
      </w:r>
      <w:proofErr w:type="spellStart"/>
      <w:r w:rsidRPr="00686B17">
        <w:rPr>
          <w:rFonts w:ascii="Century Gothic" w:eastAsia="Calibri" w:hAnsi="Century Gothic"/>
          <w:color w:val="000000"/>
          <w:sz w:val="20"/>
          <w:szCs w:val="20"/>
          <w:lang w:val="en-US" w:eastAsia="en-US"/>
        </w:rPr>
        <w:t>SECAP</w:t>
      </w:r>
      <w:proofErr w:type="spellEnd"/>
      <w:r w:rsidRPr="00686B17">
        <w:rPr>
          <w:rFonts w:ascii="Century Gothic" w:eastAsia="Calibri" w:hAnsi="Century Gothic"/>
          <w:color w:val="000000"/>
          <w:sz w:val="20"/>
          <w:szCs w:val="20"/>
          <w:lang w:val="en-US" w:eastAsia="en-US"/>
        </w:rPr>
        <w:t>, the Final Energy Consumption, the Energy Supply and the corresponding CO</w:t>
      </w:r>
      <w:r w:rsidRPr="0040357A">
        <w:rPr>
          <w:rFonts w:ascii="Century Gothic" w:eastAsia="Calibri" w:hAnsi="Century Gothic"/>
          <w:color w:val="000000"/>
          <w:sz w:val="20"/>
          <w:szCs w:val="20"/>
          <w:vertAlign w:val="subscript"/>
          <w:lang w:val="en-US" w:eastAsia="en-US"/>
        </w:rPr>
        <w:t>2</w:t>
      </w:r>
      <w:r w:rsidRPr="00686B17">
        <w:rPr>
          <w:rFonts w:ascii="Century Gothic" w:eastAsia="Calibri" w:hAnsi="Century Gothic"/>
          <w:color w:val="000000"/>
          <w:sz w:val="20"/>
          <w:szCs w:val="20"/>
          <w:lang w:val="en-US" w:eastAsia="en-US"/>
        </w:rPr>
        <w:t xml:space="preserve"> emissions per activity sector, in </w:t>
      </w:r>
      <w:r w:rsidR="0040357A">
        <w:rPr>
          <w:rFonts w:ascii="Century Gothic" w:eastAsia="Calibri" w:hAnsi="Century Gothic"/>
          <w:color w:val="000000"/>
          <w:sz w:val="20"/>
          <w:szCs w:val="20"/>
          <w:lang w:val="en-US" w:eastAsia="en-US"/>
        </w:rPr>
        <w:t xml:space="preserve">the </w:t>
      </w:r>
      <w:r w:rsidRPr="00686B17">
        <w:rPr>
          <w:rFonts w:ascii="Century Gothic" w:eastAsia="Calibri" w:hAnsi="Century Gothic"/>
          <w:color w:val="000000"/>
          <w:sz w:val="20"/>
          <w:szCs w:val="20"/>
          <w:lang w:val="en-US" w:eastAsia="en-US"/>
        </w:rPr>
        <w:t>Municipality’s territory are presented in the following tables.</w:t>
      </w:r>
    </w:p>
    <w:p w14:paraId="799E81C2" w14:textId="7E892964" w:rsidR="00686B17" w:rsidRPr="00686B17" w:rsidRDefault="00686B17" w:rsidP="00686B17">
      <w:pPr>
        <w:keepNext/>
        <w:spacing w:line="240" w:lineRule="auto"/>
        <w:jc w:val="both"/>
        <w:rPr>
          <w:rFonts w:ascii="Century Gothic" w:eastAsia="Calibri" w:hAnsi="Century Gothic"/>
          <w:i/>
          <w:iCs/>
          <w:color w:val="44546A"/>
          <w:sz w:val="18"/>
          <w:szCs w:val="18"/>
          <w:lang w:val="en-US" w:eastAsia="en-US"/>
        </w:rPr>
      </w:pPr>
      <w:r w:rsidRPr="00686B17">
        <w:rPr>
          <w:rFonts w:ascii="Century Gothic" w:eastAsia="Calibri" w:hAnsi="Century Gothic"/>
          <w:i/>
          <w:iCs/>
          <w:color w:val="44546A"/>
          <w:sz w:val="18"/>
          <w:szCs w:val="18"/>
          <w:lang w:val="en-US" w:eastAsia="en-US"/>
        </w:rPr>
        <w:t xml:space="preserve">Table </w:t>
      </w:r>
      <w:r w:rsidRPr="00686B17">
        <w:rPr>
          <w:rFonts w:ascii="Century Gothic" w:eastAsia="Calibri" w:hAnsi="Century Gothic"/>
          <w:i/>
          <w:iCs/>
          <w:color w:val="44546A"/>
          <w:sz w:val="18"/>
          <w:szCs w:val="18"/>
          <w:lang w:eastAsia="en-US"/>
        </w:rPr>
        <w:fldChar w:fldCharType="begin"/>
      </w:r>
      <w:r w:rsidRPr="00686B17">
        <w:rPr>
          <w:rFonts w:ascii="Century Gothic" w:eastAsia="Calibri" w:hAnsi="Century Gothic"/>
          <w:i/>
          <w:iCs/>
          <w:color w:val="44546A"/>
          <w:sz w:val="18"/>
          <w:szCs w:val="18"/>
          <w:lang w:val="en-US" w:eastAsia="en-US"/>
        </w:rPr>
        <w:instrText xml:space="preserve"> SEQ Table \* ARABIC </w:instrText>
      </w:r>
      <w:r w:rsidRPr="00686B17">
        <w:rPr>
          <w:rFonts w:ascii="Century Gothic" w:eastAsia="Calibri" w:hAnsi="Century Gothic"/>
          <w:i/>
          <w:iCs/>
          <w:color w:val="44546A"/>
          <w:sz w:val="18"/>
          <w:szCs w:val="18"/>
          <w:lang w:eastAsia="en-US"/>
        </w:rPr>
        <w:fldChar w:fldCharType="separate"/>
      </w:r>
      <w:r w:rsidRPr="00686B17">
        <w:rPr>
          <w:rFonts w:ascii="Century Gothic" w:eastAsia="Calibri" w:hAnsi="Century Gothic"/>
          <w:i/>
          <w:iCs/>
          <w:noProof/>
          <w:color w:val="44546A"/>
          <w:sz w:val="18"/>
          <w:szCs w:val="18"/>
          <w:lang w:val="en-US" w:eastAsia="en-US"/>
        </w:rPr>
        <w:t>2</w:t>
      </w:r>
      <w:r w:rsidRPr="00686B17">
        <w:rPr>
          <w:rFonts w:ascii="Century Gothic" w:eastAsia="Calibri" w:hAnsi="Century Gothic"/>
          <w:i/>
          <w:iCs/>
          <w:color w:val="44546A"/>
          <w:sz w:val="18"/>
          <w:szCs w:val="18"/>
          <w:lang w:eastAsia="en-US"/>
        </w:rPr>
        <w:fldChar w:fldCharType="end"/>
      </w:r>
      <w:r w:rsidRPr="00686B17">
        <w:rPr>
          <w:rFonts w:ascii="Century Gothic" w:eastAsia="Calibri" w:hAnsi="Century Gothic"/>
          <w:i/>
          <w:iCs/>
          <w:color w:val="44546A"/>
          <w:sz w:val="18"/>
          <w:szCs w:val="18"/>
          <w:lang w:val="en-US" w:eastAsia="en-US"/>
        </w:rPr>
        <w:t xml:space="preserve">: Final Energy Consumption per activity sector in </w:t>
      </w:r>
      <w:r w:rsidR="0094679C" w:rsidRPr="0094679C">
        <w:rPr>
          <w:rFonts w:ascii="Century Gothic" w:eastAsia="Calibri" w:hAnsi="Century Gothic"/>
          <w:i/>
          <w:iCs/>
          <w:color w:val="ED7D31"/>
          <w:sz w:val="18"/>
          <w:szCs w:val="18"/>
          <w:lang w:val="en-US" w:eastAsia="en-US"/>
        </w:rPr>
        <w:t>Municipality of Vodnjan</w:t>
      </w:r>
    </w:p>
    <w:p w14:paraId="50E4FB71" w14:textId="5EA89F66" w:rsidR="00686B17" w:rsidRPr="00686B17" w:rsidRDefault="00B131B2" w:rsidP="00686B17">
      <w:pPr>
        <w:spacing w:after="160" w:line="259" w:lineRule="auto"/>
        <w:jc w:val="both"/>
        <w:rPr>
          <w:rFonts w:ascii="Century Gothic" w:eastAsia="Calibri" w:hAnsi="Century Gothic"/>
          <w:color w:val="000000"/>
          <w:sz w:val="20"/>
          <w:szCs w:val="20"/>
          <w:lang w:val="en-US" w:eastAsia="en-US"/>
        </w:rPr>
      </w:pPr>
      <w:r>
        <w:rPr>
          <w:noProof/>
          <w:lang w:val="en-US" w:eastAsia="en-US"/>
        </w:rPr>
        <w:drawing>
          <wp:inline distT="0" distB="0" distL="0" distR="0" wp14:anchorId="05F7F39C" wp14:editId="2150162F">
            <wp:extent cx="8229600" cy="232537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8229600" cy="2325370"/>
                    </a:xfrm>
                    <a:prstGeom prst="rect">
                      <a:avLst/>
                    </a:prstGeom>
                  </pic:spPr>
                </pic:pic>
              </a:graphicData>
            </a:graphic>
          </wp:inline>
        </w:drawing>
      </w:r>
    </w:p>
    <w:p w14:paraId="7B8F0393" w14:textId="77777777" w:rsidR="00686B17" w:rsidRPr="00686B17" w:rsidRDefault="00686B17" w:rsidP="00686B17">
      <w:pPr>
        <w:spacing w:after="160" w:line="259" w:lineRule="auto"/>
        <w:jc w:val="both"/>
        <w:rPr>
          <w:rFonts w:ascii="Century Gothic" w:eastAsia="Calibri" w:hAnsi="Century Gothic"/>
          <w:color w:val="000000"/>
          <w:sz w:val="20"/>
          <w:szCs w:val="20"/>
          <w:lang w:val="en-US" w:eastAsia="en-US"/>
        </w:rPr>
      </w:pPr>
    </w:p>
    <w:p w14:paraId="38892353" w14:textId="77777777" w:rsidR="00686B17" w:rsidRPr="00686B17" w:rsidRDefault="00686B17" w:rsidP="00686B17">
      <w:pPr>
        <w:keepNext/>
        <w:spacing w:line="240" w:lineRule="auto"/>
        <w:jc w:val="both"/>
        <w:rPr>
          <w:rFonts w:ascii="Century Gothic" w:eastAsia="Calibri" w:hAnsi="Century Gothic"/>
          <w:i/>
          <w:iCs/>
          <w:color w:val="44546A"/>
          <w:sz w:val="18"/>
          <w:szCs w:val="18"/>
          <w:lang w:val="en-US" w:eastAsia="en-US"/>
        </w:rPr>
      </w:pPr>
      <w:r w:rsidRPr="00686B17">
        <w:rPr>
          <w:rFonts w:ascii="Century Gothic" w:eastAsia="Calibri" w:hAnsi="Century Gothic"/>
          <w:i/>
          <w:iCs/>
          <w:color w:val="44546A"/>
          <w:sz w:val="18"/>
          <w:szCs w:val="18"/>
          <w:lang w:val="en-US" w:eastAsia="en-US"/>
        </w:rPr>
        <w:t xml:space="preserve">Table </w:t>
      </w:r>
      <w:r w:rsidRPr="00686B17">
        <w:rPr>
          <w:rFonts w:ascii="Century Gothic" w:eastAsia="Calibri" w:hAnsi="Century Gothic"/>
          <w:i/>
          <w:iCs/>
          <w:color w:val="44546A"/>
          <w:sz w:val="18"/>
          <w:szCs w:val="18"/>
          <w:lang w:eastAsia="en-US"/>
        </w:rPr>
        <w:fldChar w:fldCharType="begin"/>
      </w:r>
      <w:r w:rsidRPr="00686B17">
        <w:rPr>
          <w:rFonts w:ascii="Century Gothic" w:eastAsia="Calibri" w:hAnsi="Century Gothic"/>
          <w:i/>
          <w:iCs/>
          <w:color w:val="44546A"/>
          <w:sz w:val="18"/>
          <w:szCs w:val="18"/>
          <w:lang w:val="en-US" w:eastAsia="en-US"/>
        </w:rPr>
        <w:instrText xml:space="preserve"> SEQ Table \* ARABIC </w:instrText>
      </w:r>
      <w:r w:rsidRPr="00686B17">
        <w:rPr>
          <w:rFonts w:ascii="Century Gothic" w:eastAsia="Calibri" w:hAnsi="Century Gothic"/>
          <w:i/>
          <w:iCs/>
          <w:color w:val="44546A"/>
          <w:sz w:val="18"/>
          <w:szCs w:val="18"/>
          <w:lang w:eastAsia="en-US"/>
        </w:rPr>
        <w:fldChar w:fldCharType="separate"/>
      </w:r>
      <w:r w:rsidRPr="00686B17">
        <w:rPr>
          <w:rFonts w:ascii="Century Gothic" w:eastAsia="Calibri" w:hAnsi="Century Gothic"/>
          <w:i/>
          <w:iCs/>
          <w:noProof/>
          <w:color w:val="44546A"/>
          <w:sz w:val="18"/>
          <w:szCs w:val="18"/>
          <w:lang w:val="en-US" w:eastAsia="en-US"/>
        </w:rPr>
        <w:t>3</w:t>
      </w:r>
      <w:r w:rsidRPr="00686B17">
        <w:rPr>
          <w:rFonts w:ascii="Century Gothic" w:eastAsia="Calibri" w:hAnsi="Century Gothic"/>
          <w:i/>
          <w:iCs/>
          <w:color w:val="44546A"/>
          <w:sz w:val="18"/>
          <w:szCs w:val="18"/>
          <w:lang w:eastAsia="en-US"/>
        </w:rPr>
        <w:fldChar w:fldCharType="end"/>
      </w:r>
      <w:r w:rsidRPr="00686B17">
        <w:rPr>
          <w:rFonts w:ascii="Century Gothic" w:eastAsia="Calibri" w:hAnsi="Century Gothic"/>
          <w:i/>
          <w:iCs/>
          <w:color w:val="44546A"/>
          <w:sz w:val="18"/>
          <w:szCs w:val="18"/>
          <w:lang w:val="en-US" w:eastAsia="en-US"/>
        </w:rPr>
        <w:t>: Local/distributed electricity production (Renewable energy only)</w:t>
      </w:r>
    </w:p>
    <w:p w14:paraId="001D09FD" w14:textId="018B0FC9" w:rsidR="00686B17" w:rsidRPr="00686B17" w:rsidRDefault="00B131B2" w:rsidP="00686B17">
      <w:pPr>
        <w:spacing w:after="160" w:line="259" w:lineRule="auto"/>
        <w:jc w:val="both"/>
        <w:rPr>
          <w:rFonts w:ascii="Century Gothic" w:eastAsia="Calibri" w:hAnsi="Century Gothic"/>
          <w:color w:val="000000"/>
          <w:sz w:val="20"/>
          <w:szCs w:val="20"/>
          <w:lang w:val="en-US" w:eastAsia="en-US"/>
        </w:rPr>
      </w:pPr>
      <w:r>
        <w:rPr>
          <w:noProof/>
          <w:lang w:val="en-US" w:eastAsia="en-US"/>
        </w:rPr>
        <w:drawing>
          <wp:inline distT="0" distB="0" distL="0" distR="0" wp14:anchorId="4EE952AF" wp14:editId="6815D40C">
            <wp:extent cx="6343650" cy="188595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6343650" cy="1885950"/>
                    </a:xfrm>
                    <a:prstGeom prst="rect">
                      <a:avLst/>
                    </a:prstGeom>
                  </pic:spPr>
                </pic:pic>
              </a:graphicData>
            </a:graphic>
          </wp:inline>
        </w:drawing>
      </w:r>
    </w:p>
    <w:p w14:paraId="7514D26C" w14:textId="77777777" w:rsidR="00686B17" w:rsidRPr="00686B17" w:rsidRDefault="00686B17" w:rsidP="00686B17">
      <w:pPr>
        <w:spacing w:after="160" w:line="259" w:lineRule="auto"/>
        <w:rPr>
          <w:rFonts w:ascii="Century Gothic" w:eastAsia="Calibri" w:hAnsi="Century Gothic"/>
          <w:color w:val="000000"/>
          <w:sz w:val="20"/>
          <w:szCs w:val="20"/>
          <w:lang w:val="en-US" w:eastAsia="en-US"/>
        </w:rPr>
      </w:pPr>
    </w:p>
    <w:p w14:paraId="3AD97D2F" w14:textId="77777777" w:rsidR="00686B17" w:rsidRPr="00686B17" w:rsidRDefault="00686B17" w:rsidP="00686B17">
      <w:pPr>
        <w:keepNext/>
        <w:spacing w:line="240" w:lineRule="auto"/>
        <w:jc w:val="both"/>
        <w:rPr>
          <w:rFonts w:ascii="Century Gothic" w:eastAsia="Calibri" w:hAnsi="Century Gothic"/>
          <w:i/>
          <w:iCs/>
          <w:color w:val="44546A"/>
          <w:sz w:val="18"/>
          <w:szCs w:val="18"/>
          <w:lang w:val="en-US" w:eastAsia="en-US"/>
        </w:rPr>
      </w:pPr>
      <w:r w:rsidRPr="00686B17">
        <w:rPr>
          <w:rFonts w:ascii="Century Gothic" w:eastAsia="Calibri" w:hAnsi="Century Gothic"/>
          <w:i/>
          <w:iCs/>
          <w:color w:val="44546A"/>
          <w:sz w:val="18"/>
          <w:szCs w:val="18"/>
          <w:lang w:val="en-US" w:eastAsia="en-US"/>
        </w:rPr>
        <w:t xml:space="preserve">Table </w:t>
      </w:r>
      <w:r w:rsidRPr="00686B17">
        <w:rPr>
          <w:rFonts w:ascii="Century Gothic" w:eastAsia="Calibri" w:hAnsi="Century Gothic"/>
          <w:i/>
          <w:iCs/>
          <w:color w:val="44546A"/>
          <w:sz w:val="18"/>
          <w:szCs w:val="18"/>
          <w:lang w:eastAsia="en-US"/>
        </w:rPr>
        <w:fldChar w:fldCharType="begin"/>
      </w:r>
      <w:r w:rsidRPr="00686B17">
        <w:rPr>
          <w:rFonts w:ascii="Century Gothic" w:eastAsia="Calibri" w:hAnsi="Century Gothic"/>
          <w:i/>
          <w:iCs/>
          <w:color w:val="44546A"/>
          <w:sz w:val="18"/>
          <w:szCs w:val="18"/>
          <w:lang w:val="en-US" w:eastAsia="en-US"/>
        </w:rPr>
        <w:instrText xml:space="preserve"> SEQ Table \* ARABIC </w:instrText>
      </w:r>
      <w:r w:rsidRPr="00686B17">
        <w:rPr>
          <w:rFonts w:ascii="Century Gothic" w:eastAsia="Calibri" w:hAnsi="Century Gothic"/>
          <w:i/>
          <w:iCs/>
          <w:color w:val="44546A"/>
          <w:sz w:val="18"/>
          <w:szCs w:val="18"/>
          <w:lang w:eastAsia="en-US"/>
        </w:rPr>
        <w:fldChar w:fldCharType="separate"/>
      </w:r>
      <w:r w:rsidRPr="00686B17">
        <w:rPr>
          <w:rFonts w:ascii="Century Gothic" w:eastAsia="Calibri" w:hAnsi="Century Gothic"/>
          <w:i/>
          <w:iCs/>
          <w:noProof/>
          <w:color w:val="44546A"/>
          <w:sz w:val="18"/>
          <w:szCs w:val="18"/>
          <w:lang w:val="en-US" w:eastAsia="en-US"/>
        </w:rPr>
        <w:t>4</w:t>
      </w:r>
      <w:r w:rsidRPr="00686B17">
        <w:rPr>
          <w:rFonts w:ascii="Century Gothic" w:eastAsia="Calibri" w:hAnsi="Century Gothic"/>
          <w:i/>
          <w:iCs/>
          <w:color w:val="44546A"/>
          <w:sz w:val="18"/>
          <w:szCs w:val="18"/>
          <w:lang w:eastAsia="en-US"/>
        </w:rPr>
        <w:fldChar w:fldCharType="end"/>
      </w:r>
      <w:r w:rsidRPr="00686B17">
        <w:rPr>
          <w:rFonts w:ascii="Century Gothic" w:eastAsia="Calibri" w:hAnsi="Century Gothic"/>
          <w:i/>
          <w:iCs/>
          <w:color w:val="44546A"/>
          <w:sz w:val="18"/>
          <w:szCs w:val="18"/>
          <w:lang w:val="en-US" w:eastAsia="en-US"/>
        </w:rPr>
        <w:t>: Local/distributed electricity production</w:t>
      </w:r>
    </w:p>
    <w:p w14:paraId="44A4575B" w14:textId="47F2C50E" w:rsidR="00686B17" w:rsidRPr="00686B17" w:rsidRDefault="00B131B2" w:rsidP="00686B17">
      <w:pPr>
        <w:spacing w:after="160" w:line="259" w:lineRule="auto"/>
        <w:jc w:val="both"/>
        <w:rPr>
          <w:rFonts w:ascii="Century Gothic" w:eastAsia="Calibri" w:hAnsi="Century Gothic"/>
          <w:color w:val="000000"/>
          <w:sz w:val="20"/>
          <w:szCs w:val="20"/>
          <w:lang w:val="en-US" w:eastAsia="en-US"/>
        </w:rPr>
      </w:pPr>
      <w:r>
        <w:rPr>
          <w:noProof/>
          <w:lang w:val="en-US" w:eastAsia="en-US"/>
        </w:rPr>
        <w:drawing>
          <wp:inline distT="0" distB="0" distL="0" distR="0" wp14:anchorId="477E9575" wp14:editId="20D73A89">
            <wp:extent cx="8229600" cy="949325"/>
            <wp:effectExtent l="0" t="0" r="0"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229600" cy="949325"/>
                    </a:xfrm>
                    <a:prstGeom prst="rect">
                      <a:avLst/>
                    </a:prstGeom>
                  </pic:spPr>
                </pic:pic>
              </a:graphicData>
            </a:graphic>
          </wp:inline>
        </w:drawing>
      </w:r>
    </w:p>
    <w:p w14:paraId="6FB80B62" w14:textId="77777777" w:rsidR="00686B17" w:rsidRPr="00686B17" w:rsidRDefault="00686B17" w:rsidP="00686B17">
      <w:pPr>
        <w:spacing w:after="160" w:line="259" w:lineRule="auto"/>
        <w:jc w:val="both"/>
        <w:rPr>
          <w:rFonts w:ascii="Century Gothic" w:eastAsia="Calibri" w:hAnsi="Century Gothic"/>
          <w:color w:val="000000"/>
          <w:sz w:val="20"/>
          <w:szCs w:val="20"/>
          <w:lang w:val="en-US" w:eastAsia="en-US"/>
        </w:rPr>
      </w:pPr>
    </w:p>
    <w:p w14:paraId="029999D4" w14:textId="77777777" w:rsidR="00686B17" w:rsidRPr="00686B17" w:rsidRDefault="00686B17" w:rsidP="00686B17">
      <w:pPr>
        <w:keepNext/>
        <w:spacing w:line="240" w:lineRule="auto"/>
        <w:jc w:val="both"/>
        <w:rPr>
          <w:rFonts w:ascii="Century Gothic" w:eastAsia="Calibri" w:hAnsi="Century Gothic"/>
          <w:i/>
          <w:iCs/>
          <w:color w:val="44546A"/>
          <w:sz w:val="18"/>
          <w:szCs w:val="18"/>
          <w:lang w:val="en-US" w:eastAsia="en-US"/>
        </w:rPr>
      </w:pPr>
      <w:r w:rsidRPr="00686B17">
        <w:rPr>
          <w:rFonts w:ascii="Century Gothic" w:eastAsia="Calibri" w:hAnsi="Century Gothic"/>
          <w:i/>
          <w:iCs/>
          <w:color w:val="44546A"/>
          <w:sz w:val="18"/>
          <w:szCs w:val="18"/>
          <w:lang w:val="en-US" w:eastAsia="en-US"/>
        </w:rPr>
        <w:lastRenderedPageBreak/>
        <w:t xml:space="preserve">Table </w:t>
      </w:r>
      <w:r w:rsidRPr="00686B17">
        <w:rPr>
          <w:rFonts w:ascii="Century Gothic" w:eastAsia="Calibri" w:hAnsi="Century Gothic"/>
          <w:i/>
          <w:iCs/>
          <w:color w:val="44546A"/>
          <w:sz w:val="18"/>
          <w:szCs w:val="18"/>
          <w:lang w:eastAsia="en-US"/>
        </w:rPr>
        <w:fldChar w:fldCharType="begin"/>
      </w:r>
      <w:r w:rsidRPr="00686B17">
        <w:rPr>
          <w:rFonts w:ascii="Century Gothic" w:eastAsia="Calibri" w:hAnsi="Century Gothic"/>
          <w:i/>
          <w:iCs/>
          <w:color w:val="44546A"/>
          <w:sz w:val="18"/>
          <w:szCs w:val="18"/>
          <w:lang w:val="en-US" w:eastAsia="en-US"/>
        </w:rPr>
        <w:instrText xml:space="preserve"> SEQ Table \* ARABIC </w:instrText>
      </w:r>
      <w:r w:rsidRPr="00686B17">
        <w:rPr>
          <w:rFonts w:ascii="Century Gothic" w:eastAsia="Calibri" w:hAnsi="Century Gothic"/>
          <w:i/>
          <w:iCs/>
          <w:color w:val="44546A"/>
          <w:sz w:val="18"/>
          <w:szCs w:val="18"/>
          <w:lang w:eastAsia="en-US"/>
        </w:rPr>
        <w:fldChar w:fldCharType="separate"/>
      </w:r>
      <w:r w:rsidRPr="00686B17">
        <w:rPr>
          <w:rFonts w:ascii="Century Gothic" w:eastAsia="Calibri" w:hAnsi="Century Gothic"/>
          <w:i/>
          <w:iCs/>
          <w:noProof/>
          <w:color w:val="44546A"/>
          <w:sz w:val="18"/>
          <w:szCs w:val="18"/>
          <w:lang w:val="en-US" w:eastAsia="en-US"/>
        </w:rPr>
        <w:t>5</w:t>
      </w:r>
      <w:r w:rsidRPr="00686B17">
        <w:rPr>
          <w:rFonts w:ascii="Century Gothic" w:eastAsia="Calibri" w:hAnsi="Century Gothic"/>
          <w:i/>
          <w:iCs/>
          <w:color w:val="44546A"/>
          <w:sz w:val="18"/>
          <w:szCs w:val="18"/>
          <w:lang w:eastAsia="en-US"/>
        </w:rPr>
        <w:fldChar w:fldCharType="end"/>
      </w:r>
      <w:r w:rsidRPr="00686B17">
        <w:rPr>
          <w:rFonts w:ascii="Century Gothic" w:eastAsia="Calibri" w:hAnsi="Century Gothic"/>
          <w:i/>
          <w:iCs/>
          <w:color w:val="44546A"/>
          <w:sz w:val="18"/>
          <w:szCs w:val="18"/>
          <w:lang w:val="en-US" w:eastAsia="en-US"/>
        </w:rPr>
        <w:t xml:space="preserve">: </w:t>
      </w:r>
      <w:proofErr w:type="spellStart"/>
      <w:r w:rsidRPr="00686B17">
        <w:rPr>
          <w:rFonts w:ascii="Century Gothic" w:eastAsia="Calibri" w:hAnsi="Century Gothic"/>
          <w:i/>
          <w:iCs/>
          <w:color w:val="44546A"/>
          <w:sz w:val="18"/>
          <w:szCs w:val="18"/>
          <w:lang w:val="en-US" w:eastAsia="en-US"/>
        </w:rPr>
        <w:t>B4</w:t>
      </w:r>
      <w:proofErr w:type="spellEnd"/>
      <w:r w:rsidRPr="00686B17">
        <w:rPr>
          <w:rFonts w:ascii="Century Gothic" w:eastAsia="Calibri" w:hAnsi="Century Gothic"/>
          <w:i/>
          <w:iCs/>
          <w:color w:val="44546A"/>
          <w:sz w:val="18"/>
          <w:szCs w:val="18"/>
          <w:lang w:val="en-US" w:eastAsia="en-US"/>
        </w:rPr>
        <w:t>. Local heat/cold production</w:t>
      </w:r>
    </w:p>
    <w:p w14:paraId="59AF0ACB" w14:textId="5D708152" w:rsidR="00686B17" w:rsidRPr="00686B17" w:rsidRDefault="00B131B2" w:rsidP="00686B17">
      <w:pPr>
        <w:spacing w:after="160" w:line="259" w:lineRule="auto"/>
        <w:jc w:val="both"/>
        <w:rPr>
          <w:rFonts w:ascii="Century Gothic" w:eastAsia="Calibri" w:hAnsi="Century Gothic"/>
          <w:color w:val="000000"/>
          <w:sz w:val="20"/>
          <w:szCs w:val="20"/>
          <w:lang w:val="en-US" w:eastAsia="en-US"/>
        </w:rPr>
      </w:pPr>
      <w:r>
        <w:rPr>
          <w:noProof/>
          <w:lang w:val="en-US" w:eastAsia="en-US"/>
        </w:rPr>
        <w:drawing>
          <wp:inline distT="0" distB="0" distL="0" distR="0" wp14:anchorId="401DFED5" wp14:editId="689F6848">
            <wp:extent cx="8229600" cy="1120775"/>
            <wp:effectExtent l="0" t="0" r="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8229600" cy="1120775"/>
                    </a:xfrm>
                    <a:prstGeom prst="rect">
                      <a:avLst/>
                    </a:prstGeom>
                  </pic:spPr>
                </pic:pic>
              </a:graphicData>
            </a:graphic>
          </wp:inline>
        </w:drawing>
      </w:r>
    </w:p>
    <w:p w14:paraId="2B3DF11B" w14:textId="77777777" w:rsidR="00686B17" w:rsidRPr="00686B17" w:rsidRDefault="00686B17" w:rsidP="00686B17">
      <w:pPr>
        <w:spacing w:after="160" w:line="259" w:lineRule="auto"/>
        <w:jc w:val="both"/>
        <w:rPr>
          <w:rFonts w:ascii="Century Gothic" w:eastAsia="Calibri" w:hAnsi="Century Gothic"/>
          <w:color w:val="000000"/>
          <w:sz w:val="20"/>
          <w:szCs w:val="20"/>
          <w:lang w:val="en-US" w:eastAsia="en-US"/>
        </w:rPr>
      </w:pPr>
    </w:p>
    <w:p w14:paraId="02575DBF" w14:textId="77777777" w:rsidR="00686B17" w:rsidRPr="00686B17" w:rsidRDefault="00686B17" w:rsidP="00686B17">
      <w:pPr>
        <w:keepNext/>
        <w:spacing w:line="240" w:lineRule="auto"/>
        <w:jc w:val="both"/>
        <w:rPr>
          <w:rFonts w:ascii="Century Gothic" w:eastAsia="Calibri" w:hAnsi="Century Gothic"/>
          <w:i/>
          <w:iCs/>
          <w:color w:val="44546A"/>
          <w:sz w:val="18"/>
          <w:szCs w:val="18"/>
          <w:lang w:val="en-US" w:eastAsia="en-US"/>
        </w:rPr>
      </w:pPr>
      <w:r w:rsidRPr="00686B17">
        <w:rPr>
          <w:rFonts w:ascii="Century Gothic" w:eastAsia="Calibri" w:hAnsi="Century Gothic"/>
          <w:i/>
          <w:iCs/>
          <w:color w:val="44546A"/>
          <w:sz w:val="18"/>
          <w:szCs w:val="18"/>
          <w:lang w:eastAsia="en-US"/>
        </w:rPr>
        <w:t xml:space="preserve">Table </w:t>
      </w:r>
      <w:r w:rsidRPr="00686B17">
        <w:rPr>
          <w:rFonts w:ascii="Century Gothic" w:eastAsia="Calibri" w:hAnsi="Century Gothic"/>
          <w:i/>
          <w:iCs/>
          <w:color w:val="44546A"/>
          <w:sz w:val="18"/>
          <w:szCs w:val="18"/>
          <w:lang w:eastAsia="en-US"/>
        </w:rPr>
        <w:fldChar w:fldCharType="begin"/>
      </w:r>
      <w:r w:rsidRPr="00686B17">
        <w:rPr>
          <w:rFonts w:ascii="Century Gothic" w:eastAsia="Calibri" w:hAnsi="Century Gothic"/>
          <w:i/>
          <w:iCs/>
          <w:color w:val="44546A"/>
          <w:sz w:val="18"/>
          <w:szCs w:val="18"/>
          <w:lang w:eastAsia="en-US"/>
        </w:rPr>
        <w:instrText xml:space="preserve"> SEQ Table \* ARABIC </w:instrText>
      </w:r>
      <w:r w:rsidRPr="00686B17">
        <w:rPr>
          <w:rFonts w:ascii="Century Gothic" w:eastAsia="Calibri" w:hAnsi="Century Gothic"/>
          <w:i/>
          <w:iCs/>
          <w:color w:val="44546A"/>
          <w:sz w:val="18"/>
          <w:szCs w:val="18"/>
          <w:lang w:eastAsia="en-US"/>
        </w:rPr>
        <w:fldChar w:fldCharType="separate"/>
      </w:r>
      <w:r w:rsidRPr="00686B17">
        <w:rPr>
          <w:rFonts w:ascii="Century Gothic" w:eastAsia="Calibri" w:hAnsi="Century Gothic"/>
          <w:i/>
          <w:iCs/>
          <w:noProof/>
          <w:color w:val="44546A"/>
          <w:sz w:val="18"/>
          <w:szCs w:val="18"/>
          <w:lang w:eastAsia="en-US"/>
        </w:rPr>
        <w:t>6</w:t>
      </w:r>
      <w:r w:rsidRPr="00686B17">
        <w:rPr>
          <w:rFonts w:ascii="Century Gothic" w:eastAsia="Calibri" w:hAnsi="Century Gothic"/>
          <w:i/>
          <w:iCs/>
          <w:color w:val="44546A"/>
          <w:sz w:val="18"/>
          <w:szCs w:val="18"/>
          <w:lang w:eastAsia="en-US"/>
        </w:rPr>
        <w:fldChar w:fldCharType="end"/>
      </w:r>
      <w:r w:rsidRPr="00686B17">
        <w:rPr>
          <w:rFonts w:ascii="Century Gothic" w:eastAsia="Calibri" w:hAnsi="Century Gothic"/>
          <w:i/>
          <w:iCs/>
          <w:color w:val="44546A"/>
          <w:sz w:val="18"/>
          <w:szCs w:val="18"/>
          <w:lang w:val="en-US" w:eastAsia="en-US"/>
        </w:rPr>
        <w:t>: Baseline Emissions Inventory</w:t>
      </w:r>
    </w:p>
    <w:p w14:paraId="6CB4200E" w14:textId="47A677CB" w:rsidR="00686B17" w:rsidRPr="00686B17" w:rsidRDefault="00686B17" w:rsidP="00686B17">
      <w:pPr>
        <w:spacing w:after="160" w:line="259" w:lineRule="auto"/>
        <w:jc w:val="both"/>
        <w:rPr>
          <w:rFonts w:ascii="Century Gothic" w:eastAsia="Calibri" w:hAnsi="Century Gothic"/>
          <w:color w:val="000000"/>
          <w:sz w:val="20"/>
          <w:szCs w:val="20"/>
          <w:lang w:val="en-US" w:eastAsia="en-US"/>
        </w:rPr>
      </w:pPr>
    </w:p>
    <w:p w14:paraId="553EB7B7" w14:textId="025F0641" w:rsidR="00686B17" w:rsidRDefault="00C70912" w:rsidP="00686B17">
      <w:pPr>
        <w:spacing w:after="160" w:line="259" w:lineRule="auto"/>
        <w:jc w:val="both"/>
        <w:rPr>
          <w:rFonts w:ascii="Century Gothic" w:eastAsia="Calibri" w:hAnsi="Century Gothic"/>
          <w:lang w:val="en-US" w:eastAsia="en-US"/>
        </w:rPr>
      </w:pPr>
      <w:r>
        <w:rPr>
          <w:noProof/>
          <w:lang w:val="en-US" w:eastAsia="en-US"/>
        </w:rPr>
        <w:drawing>
          <wp:inline distT="0" distB="0" distL="0" distR="0" wp14:anchorId="127FA6CF" wp14:editId="462F19B6">
            <wp:extent cx="4991989" cy="2901696"/>
            <wp:effectExtent l="0" t="0" r="0" b="0"/>
            <wp:docPr id="10" name="Chart 10">
              <a:extLst xmlns:a="http://schemas.openxmlformats.org/drawingml/2006/main">
                <a:ext uri="{FF2B5EF4-FFF2-40B4-BE49-F238E27FC236}">
                  <a16:creationId xmlns:a16="http://schemas.microsoft.com/office/drawing/2014/main" id="{00000000-0008-0000-0A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23DCBEC1" w14:textId="2D2BB395" w:rsidR="007F4CE1" w:rsidRPr="00C70912" w:rsidRDefault="007F4CE1" w:rsidP="00C70912">
      <w:pPr>
        <w:spacing w:after="160" w:line="259" w:lineRule="auto"/>
        <w:jc w:val="both"/>
        <w:rPr>
          <w:rFonts w:ascii="Century Gothic" w:eastAsia="Calibri" w:hAnsi="Century Gothic"/>
          <w:lang w:val="en-US" w:eastAsia="en-US"/>
        </w:rPr>
      </w:pPr>
      <w:r w:rsidRPr="001E01C6">
        <w:rPr>
          <w:rFonts w:ascii="Century Gothic" w:eastAsia="Calibri" w:hAnsi="Century Gothic"/>
          <w:i/>
          <w:iCs/>
          <w:color w:val="44546A"/>
          <w:sz w:val="18"/>
          <w:szCs w:val="18"/>
          <w:lang w:val="en-US" w:eastAsia="en-US"/>
        </w:rPr>
        <w:t xml:space="preserve">Figure </w:t>
      </w:r>
      <w:r w:rsidRPr="001E01C6">
        <w:rPr>
          <w:rFonts w:ascii="Century Gothic" w:eastAsia="Calibri" w:hAnsi="Century Gothic"/>
          <w:i/>
          <w:iCs/>
          <w:color w:val="44546A"/>
          <w:sz w:val="18"/>
          <w:szCs w:val="18"/>
          <w:lang w:val="en-US" w:eastAsia="en-US"/>
        </w:rPr>
        <w:fldChar w:fldCharType="begin"/>
      </w:r>
      <w:r w:rsidRPr="001E01C6">
        <w:rPr>
          <w:rFonts w:ascii="Century Gothic" w:eastAsia="Calibri" w:hAnsi="Century Gothic"/>
          <w:i/>
          <w:iCs/>
          <w:color w:val="44546A"/>
          <w:sz w:val="18"/>
          <w:szCs w:val="18"/>
          <w:lang w:val="en-US" w:eastAsia="en-US"/>
        </w:rPr>
        <w:instrText xml:space="preserve"> SEQ Figure \* ARABIC </w:instrText>
      </w:r>
      <w:r w:rsidRPr="001E01C6">
        <w:rPr>
          <w:rFonts w:ascii="Century Gothic" w:eastAsia="Calibri" w:hAnsi="Century Gothic"/>
          <w:i/>
          <w:iCs/>
          <w:color w:val="44546A"/>
          <w:sz w:val="18"/>
          <w:szCs w:val="18"/>
          <w:lang w:val="en-US" w:eastAsia="en-US"/>
        </w:rPr>
        <w:fldChar w:fldCharType="separate"/>
      </w:r>
      <w:r>
        <w:rPr>
          <w:rFonts w:ascii="Century Gothic" w:eastAsia="Calibri" w:hAnsi="Century Gothic"/>
          <w:i/>
          <w:iCs/>
          <w:noProof/>
          <w:color w:val="44546A"/>
          <w:sz w:val="18"/>
          <w:szCs w:val="18"/>
          <w:lang w:val="en-US" w:eastAsia="en-US"/>
        </w:rPr>
        <w:t>3</w:t>
      </w:r>
      <w:r w:rsidRPr="001E01C6">
        <w:rPr>
          <w:rFonts w:ascii="Century Gothic" w:eastAsia="Calibri" w:hAnsi="Century Gothic"/>
          <w:i/>
          <w:iCs/>
          <w:color w:val="44546A"/>
          <w:sz w:val="18"/>
          <w:szCs w:val="18"/>
          <w:lang w:val="en-US" w:eastAsia="en-US"/>
        </w:rPr>
        <w:fldChar w:fldCharType="end"/>
      </w:r>
      <w:r w:rsidRPr="001E01C6">
        <w:rPr>
          <w:rFonts w:ascii="Century Gothic" w:eastAsia="Calibri" w:hAnsi="Century Gothic"/>
          <w:i/>
          <w:iCs/>
          <w:color w:val="44546A"/>
          <w:sz w:val="18"/>
          <w:szCs w:val="18"/>
          <w:lang w:val="en-US" w:eastAsia="en-US"/>
        </w:rPr>
        <w:t xml:space="preserve">. </w:t>
      </w:r>
      <w:r w:rsidRPr="00A16116">
        <w:rPr>
          <w:rFonts w:ascii="Century Gothic" w:eastAsia="Calibri" w:hAnsi="Century Gothic"/>
          <w:i/>
          <w:iCs/>
          <w:color w:val="44546A"/>
          <w:sz w:val="18"/>
          <w:szCs w:val="18"/>
          <w:lang w:val="en-US" w:eastAsia="en-US"/>
        </w:rPr>
        <w:t>CO</w:t>
      </w:r>
      <w:r w:rsidRPr="00A16116">
        <w:rPr>
          <w:rFonts w:ascii="Century Gothic" w:eastAsia="Calibri" w:hAnsi="Century Gothic"/>
          <w:i/>
          <w:iCs/>
          <w:color w:val="44546A"/>
          <w:sz w:val="18"/>
          <w:szCs w:val="18"/>
          <w:vertAlign w:val="subscript"/>
          <w:lang w:val="en-US" w:eastAsia="en-US"/>
        </w:rPr>
        <w:t>2</w:t>
      </w:r>
      <w:r w:rsidRPr="00A16116">
        <w:rPr>
          <w:rFonts w:ascii="Century Gothic" w:eastAsia="Calibri" w:hAnsi="Century Gothic"/>
          <w:i/>
          <w:iCs/>
          <w:color w:val="44546A"/>
          <w:sz w:val="18"/>
          <w:szCs w:val="18"/>
          <w:lang w:val="en-US" w:eastAsia="en-US"/>
        </w:rPr>
        <w:t xml:space="preserve"> emissions share per activity sector</w:t>
      </w:r>
    </w:p>
    <w:p w14:paraId="189B7C1D" w14:textId="77777777" w:rsidR="00686B17" w:rsidRPr="00686B17" w:rsidRDefault="00686B17" w:rsidP="00686B17">
      <w:pPr>
        <w:spacing w:after="160" w:line="259" w:lineRule="auto"/>
        <w:jc w:val="both"/>
        <w:rPr>
          <w:rFonts w:ascii="Century Gothic" w:eastAsia="Calibri" w:hAnsi="Century Gothic"/>
          <w:lang w:val="en-US" w:eastAsia="en-US"/>
        </w:rPr>
      </w:pPr>
    </w:p>
    <w:p w14:paraId="4B2A8CCB" w14:textId="77777777" w:rsidR="007F4CE1" w:rsidRDefault="007F4CE1" w:rsidP="00686B17">
      <w:pPr>
        <w:spacing w:after="160" w:line="259" w:lineRule="auto"/>
        <w:jc w:val="both"/>
        <w:rPr>
          <w:rFonts w:ascii="Century Gothic" w:eastAsia="Calibri" w:hAnsi="Century Gothic"/>
          <w:b/>
          <w:sz w:val="20"/>
          <w:lang w:val="en-US" w:eastAsia="en-US"/>
        </w:rPr>
        <w:sectPr w:rsidR="007F4CE1" w:rsidSect="00A02B3F">
          <w:pgSz w:w="15840" w:h="12240" w:orient="landscape"/>
          <w:pgMar w:top="1800" w:right="1440" w:bottom="1325" w:left="1440" w:header="720" w:footer="720" w:gutter="0"/>
          <w:cols w:space="720"/>
          <w:docGrid w:linePitch="360"/>
        </w:sectPr>
      </w:pPr>
    </w:p>
    <w:p w14:paraId="378AF7D8" w14:textId="198F21EA" w:rsidR="00816B74" w:rsidRPr="00986B46" w:rsidRDefault="00816B74" w:rsidP="00816B74">
      <w:pPr>
        <w:pStyle w:val="Bezproreda1"/>
        <w:rPr>
          <w:rFonts w:ascii="Century Gothic" w:hAnsi="Century Gothic"/>
          <w:b/>
          <w:i/>
          <w:color w:val="ED7D31"/>
          <w:sz w:val="20"/>
          <w:szCs w:val="20"/>
          <w:lang w:val="en-US"/>
        </w:rPr>
      </w:pPr>
      <w:r w:rsidRPr="00986B46">
        <w:rPr>
          <w:rFonts w:ascii="Century Gothic" w:hAnsi="Century Gothic"/>
          <w:sz w:val="20"/>
          <w:szCs w:val="20"/>
          <w:lang w:val="en-US"/>
        </w:rPr>
        <w:lastRenderedPageBreak/>
        <w:t>The greatest share in total emissions of CO</w:t>
      </w:r>
      <w:r w:rsidRPr="00986B46">
        <w:rPr>
          <w:rFonts w:ascii="Century Gothic" w:hAnsi="Century Gothic"/>
          <w:sz w:val="20"/>
          <w:szCs w:val="20"/>
          <w:vertAlign w:val="subscript"/>
          <w:lang w:val="en-US"/>
        </w:rPr>
        <w:t>2</w:t>
      </w:r>
      <w:r w:rsidRPr="00986B46">
        <w:rPr>
          <w:rFonts w:ascii="Century Gothic" w:hAnsi="Century Gothic"/>
          <w:sz w:val="20"/>
          <w:szCs w:val="20"/>
          <w:lang w:val="en-US"/>
        </w:rPr>
        <w:t xml:space="preserve"> in the monitoring year 2017 came for the transport sector. Emissions of CO</w:t>
      </w:r>
      <w:r w:rsidRPr="00986B46">
        <w:rPr>
          <w:rFonts w:ascii="Century Gothic" w:hAnsi="Century Gothic"/>
          <w:sz w:val="20"/>
          <w:szCs w:val="20"/>
          <w:vertAlign w:val="subscript"/>
          <w:lang w:val="en-US"/>
        </w:rPr>
        <w:t xml:space="preserve">2 </w:t>
      </w:r>
      <w:r w:rsidRPr="00986B46">
        <w:rPr>
          <w:rFonts w:ascii="Century Gothic" w:hAnsi="Century Gothic"/>
          <w:sz w:val="20"/>
          <w:szCs w:val="20"/>
          <w:lang w:val="en-US"/>
        </w:rPr>
        <w:t xml:space="preserve">caused by the transport sector in the monitoring year were </w:t>
      </w:r>
      <w:r>
        <w:rPr>
          <w:rFonts w:ascii="Century Gothic" w:hAnsi="Century Gothic"/>
          <w:sz w:val="20"/>
          <w:szCs w:val="20"/>
          <w:lang w:val="en-US"/>
        </w:rPr>
        <w:t>24,991.84</w:t>
      </w:r>
      <w:r w:rsidRPr="00986B46">
        <w:rPr>
          <w:rFonts w:ascii="Century Gothic" w:hAnsi="Century Gothic"/>
          <w:sz w:val="20"/>
          <w:szCs w:val="20"/>
          <w:lang w:val="en-US"/>
        </w:rPr>
        <w:t xml:space="preserve"> tons of CO</w:t>
      </w:r>
      <w:r w:rsidRPr="00986B46">
        <w:rPr>
          <w:rFonts w:ascii="Century Gothic" w:hAnsi="Century Gothic"/>
          <w:sz w:val="20"/>
          <w:szCs w:val="20"/>
          <w:vertAlign w:val="subscript"/>
          <w:lang w:val="en-US"/>
        </w:rPr>
        <w:t>2</w:t>
      </w:r>
      <w:r w:rsidRPr="00986B46">
        <w:rPr>
          <w:rFonts w:ascii="Century Gothic" w:hAnsi="Century Gothic"/>
          <w:sz w:val="20"/>
          <w:szCs w:val="20"/>
          <w:lang w:val="en-US"/>
        </w:rPr>
        <w:t xml:space="preserve">, which presents </w:t>
      </w:r>
      <w:r>
        <w:rPr>
          <w:rFonts w:ascii="Century Gothic" w:hAnsi="Century Gothic"/>
          <w:sz w:val="20"/>
          <w:szCs w:val="20"/>
          <w:lang w:val="en-US"/>
        </w:rPr>
        <w:t>87.86</w:t>
      </w:r>
      <w:r w:rsidRPr="00986B46">
        <w:rPr>
          <w:rFonts w:ascii="Century Gothic" w:hAnsi="Century Gothic"/>
          <w:sz w:val="20"/>
          <w:szCs w:val="20"/>
          <w:lang w:val="en-US"/>
        </w:rPr>
        <w:t>% of total CO</w:t>
      </w:r>
      <w:r w:rsidRPr="00986B46">
        <w:rPr>
          <w:rFonts w:ascii="Century Gothic" w:hAnsi="Century Gothic"/>
          <w:sz w:val="20"/>
          <w:szCs w:val="20"/>
          <w:vertAlign w:val="subscript"/>
          <w:lang w:val="en-US"/>
        </w:rPr>
        <w:t>2</w:t>
      </w:r>
      <w:r w:rsidRPr="00986B46">
        <w:rPr>
          <w:rFonts w:ascii="Century Gothic" w:hAnsi="Century Gothic"/>
          <w:sz w:val="20"/>
          <w:szCs w:val="20"/>
          <w:lang w:val="en-US"/>
        </w:rPr>
        <w:t xml:space="preserve"> emissions</w:t>
      </w:r>
      <w:r>
        <w:rPr>
          <w:rFonts w:ascii="Century Gothic" w:hAnsi="Century Gothic"/>
          <w:sz w:val="20"/>
          <w:szCs w:val="20"/>
          <w:lang w:val="en-US"/>
        </w:rPr>
        <w:t>.</w:t>
      </w:r>
      <w:r w:rsidRPr="00986B46">
        <w:rPr>
          <w:rFonts w:ascii="Century Gothic" w:hAnsi="Century Gothic"/>
          <w:sz w:val="20"/>
          <w:szCs w:val="20"/>
          <w:lang w:val="en-US"/>
        </w:rPr>
        <w:t xml:space="preserve"> The building sector emitted </w:t>
      </w:r>
      <w:r>
        <w:rPr>
          <w:rFonts w:ascii="Century Gothic" w:hAnsi="Century Gothic"/>
          <w:sz w:val="20"/>
          <w:szCs w:val="20"/>
          <w:lang w:val="en-US"/>
        </w:rPr>
        <w:t>3,401.91</w:t>
      </w:r>
      <w:r w:rsidRPr="00986B46">
        <w:rPr>
          <w:rFonts w:ascii="Century Gothic" w:hAnsi="Century Gothic"/>
          <w:sz w:val="20"/>
          <w:szCs w:val="20"/>
          <w:lang w:val="en-US"/>
        </w:rPr>
        <w:t xml:space="preserve"> tons of CO</w:t>
      </w:r>
      <w:r w:rsidRPr="00986B46">
        <w:rPr>
          <w:rFonts w:ascii="Century Gothic" w:hAnsi="Century Gothic"/>
          <w:sz w:val="20"/>
          <w:szCs w:val="20"/>
          <w:vertAlign w:val="subscript"/>
          <w:lang w:val="en-US"/>
        </w:rPr>
        <w:t>2</w:t>
      </w:r>
      <w:r w:rsidRPr="00986B46">
        <w:rPr>
          <w:rFonts w:ascii="Century Gothic" w:hAnsi="Century Gothic"/>
          <w:sz w:val="20"/>
          <w:szCs w:val="20"/>
          <w:lang w:val="en-US"/>
        </w:rPr>
        <w:t xml:space="preserve">, which presents </w:t>
      </w:r>
      <w:r>
        <w:rPr>
          <w:rFonts w:ascii="Century Gothic" w:hAnsi="Century Gothic"/>
          <w:sz w:val="20"/>
          <w:szCs w:val="20"/>
          <w:lang w:val="en-US"/>
        </w:rPr>
        <w:t>11.96</w:t>
      </w:r>
      <w:r w:rsidRPr="00986B46">
        <w:rPr>
          <w:rFonts w:ascii="Century Gothic" w:hAnsi="Century Gothic"/>
          <w:sz w:val="20"/>
          <w:szCs w:val="20"/>
          <w:lang w:val="en-US"/>
        </w:rPr>
        <w:t>% of total CO</w:t>
      </w:r>
      <w:r w:rsidRPr="00986B46">
        <w:rPr>
          <w:rFonts w:ascii="Century Gothic" w:hAnsi="Century Gothic"/>
          <w:sz w:val="20"/>
          <w:szCs w:val="20"/>
          <w:vertAlign w:val="subscript"/>
          <w:lang w:val="en-US"/>
        </w:rPr>
        <w:t>2</w:t>
      </w:r>
      <w:r w:rsidRPr="00986B46">
        <w:rPr>
          <w:rFonts w:ascii="Century Gothic" w:hAnsi="Century Gothic"/>
          <w:sz w:val="20"/>
          <w:szCs w:val="20"/>
          <w:lang w:val="en-US"/>
        </w:rPr>
        <w:t xml:space="preserve"> emissions.</w:t>
      </w:r>
      <w:r>
        <w:rPr>
          <w:rFonts w:ascii="Century Gothic" w:hAnsi="Century Gothic"/>
          <w:sz w:val="20"/>
          <w:szCs w:val="20"/>
          <w:lang w:val="en-US"/>
        </w:rPr>
        <w:t xml:space="preserve"> </w:t>
      </w:r>
      <w:r w:rsidRPr="00986B46">
        <w:rPr>
          <w:rFonts w:ascii="Century Gothic" w:hAnsi="Century Gothic"/>
          <w:sz w:val="20"/>
          <w:szCs w:val="20"/>
          <w:lang w:val="en-US"/>
        </w:rPr>
        <w:t>The smallest emissions of CO</w:t>
      </w:r>
      <w:r w:rsidRPr="00986B46">
        <w:rPr>
          <w:rFonts w:ascii="Century Gothic" w:hAnsi="Century Gothic"/>
          <w:sz w:val="20"/>
          <w:szCs w:val="20"/>
          <w:vertAlign w:val="subscript"/>
          <w:lang w:val="en-US"/>
        </w:rPr>
        <w:t xml:space="preserve">2 </w:t>
      </w:r>
      <w:r w:rsidRPr="00986B46">
        <w:rPr>
          <w:rFonts w:ascii="Century Gothic" w:hAnsi="Century Gothic"/>
          <w:sz w:val="20"/>
          <w:szCs w:val="20"/>
          <w:lang w:val="en-US"/>
        </w:rPr>
        <w:t xml:space="preserve">were from public lighting, </w:t>
      </w:r>
      <w:r>
        <w:rPr>
          <w:rFonts w:ascii="Century Gothic" w:hAnsi="Century Gothic"/>
          <w:sz w:val="20"/>
          <w:szCs w:val="20"/>
          <w:lang w:val="en-US"/>
        </w:rPr>
        <w:t>0.18</w:t>
      </w:r>
      <w:r w:rsidRPr="00986B46">
        <w:rPr>
          <w:rFonts w:ascii="Century Gothic" w:hAnsi="Century Gothic"/>
          <w:sz w:val="20"/>
          <w:szCs w:val="20"/>
          <w:lang w:val="en-US"/>
        </w:rPr>
        <w:t xml:space="preserve">% or </w:t>
      </w:r>
      <w:r>
        <w:rPr>
          <w:rFonts w:ascii="Century Gothic" w:hAnsi="Century Gothic"/>
          <w:sz w:val="20"/>
          <w:szCs w:val="20"/>
          <w:lang w:val="en-US"/>
        </w:rPr>
        <w:t>50.73</w:t>
      </w:r>
      <w:r w:rsidRPr="00986B46">
        <w:rPr>
          <w:rFonts w:ascii="Century Gothic" w:hAnsi="Century Gothic"/>
          <w:sz w:val="20"/>
          <w:szCs w:val="20"/>
          <w:lang w:val="en-US"/>
        </w:rPr>
        <w:t xml:space="preserve"> tons of CO</w:t>
      </w:r>
      <w:r w:rsidRPr="00986B46">
        <w:rPr>
          <w:rFonts w:ascii="Century Gothic" w:hAnsi="Century Gothic"/>
          <w:sz w:val="20"/>
          <w:szCs w:val="20"/>
          <w:vertAlign w:val="subscript"/>
          <w:lang w:val="en-US"/>
        </w:rPr>
        <w:t>2.</w:t>
      </w:r>
      <w:r>
        <w:rPr>
          <w:rFonts w:ascii="Century Gothic" w:hAnsi="Century Gothic"/>
          <w:sz w:val="20"/>
          <w:szCs w:val="20"/>
          <w:vertAlign w:val="subscript"/>
          <w:lang w:val="en-US"/>
        </w:rPr>
        <w:t xml:space="preserve"> </w:t>
      </w:r>
      <w:r w:rsidRPr="00986B46">
        <w:rPr>
          <w:rFonts w:ascii="Century Gothic" w:hAnsi="Century Gothic"/>
          <w:sz w:val="20"/>
          <w:szCs w:val="20"/>
          <w:lang w:val="en-US"/>
        </w:rPr>
        <w:t>In total, in the monitoring year 2017, CO</w:t>
      </w:r>
      <w:r w:rsidRPr="00986B46">
        <w:rPr>
          <w:rFonts w:ascii="Century Gothic" w:hAnsi="Century Gothic"/>
          <w:sz w:val="20"/>
          <w:szCs w:val="20"/>
          <w:vertAlign w:val="subscript"/>
          <w:lang w:val="en-US"/>
        </w:rPr>
        <w:t xml:space="preserve">2 </w:t>
      </w:r>
      <w:r w:rsidRPr="00986B46">
        <w:rPr>
          <w:rFonts w:ascii="Century Gothic" w:hAnsi="Century Gothic"/>
          <w:sz w:val="20"/>
          <w:szCs w:val="20"/>
          <w:lang w:val="en-US"/>
        </w:rPr>
        <w:t xml:space="preserve">emissions in the city were </w:t>
      </w:r>
      <w:r>
        <w:rPr>
          <w:rFonts w:ascii="Century Gothic" w:hAnsi="Century Gothic"/>
          <w:sz w:val="20"/>
          <w:szCs w:val="20"/>
          <w:lang w:val="en-US"/>
        </w:rPr>
        <w:t>28,444.48</w:t>
      </w:r>
      <w:r w:rsidRPr="00986B46">
        <w:rPr>
          <w:rFonts w:ascii="Century Gothic" w:hAnsi="Century Gothic"/>
          <w:sz w:val="20"/>
          <w:szCs w:val="20"/>
          <w:lang w:val="en-US"/>
        </w:rPr>
        <w:t xml:space="preserve"> tons of CO</w:t>
      </w:r>
      <w:r w:rsidRPr="00986B46">
        <w:rPr>
          <w:rFonts w:ascii="Century Gothic" w:hAnsi="Century Gothic"/>
          <w:sz w:val="20"/>
          <w:szCs w:val="20"/>
          <w:vertAlign w:val="subscript"/>
          <w:lang w:val="en-US"/>
        </w:rPr>
        <w:t>2</w:t>
      </w:r>
      <w:r w:rsidRPr="00986B46">
        <w:rPr>
          <w:rFonts w:ascii="Century Gothic" w:hAnsi="Century Gothic"/>
          <w:sz w:val="20"/>
          <w:szCs w:val="20"/>
          <w:lang w:val="en-US"/>
        </w:rPr>
        <w:t>.</w:t>
      </w:r>
    </w:p>
    <w:p w14:paraId="6952F6C1" w14:textId="77777777" w:rsidR="00816B74" w:rsidRPr="00686B17" w:rsidRDefault="00816B74" w:rsidP="00816B74">
      <w:pPr>
        <w:spacing w:after="160" w:line="259" w:lineRule="auto"/>
        <w:jc w:val="both"/>
        <w:rPr>
          <w:rFonts w:ascii="Century Gothic" w:eastAsia="Calibri" w:hAnsi="Century Gothic"/>
          <w:lang w:val="en-US" w:eastAsia="en-US"/>
        </w:rPr>
      </w:pPr>
    </w:p>
    <w:p w14:paraId="1FF52DD1" w14:textId="7B0D600B" w:rsidR="00686B17" w:rsidRPr="00686B17" w:rsidRDefault="00686B17" w:rsidP="00686B17">
      <w:pPr>
        <w:spacing w:after="160" w:line="259" w:lineRule="auto"/>
        <w:jc w:val="both"/>
        <w:rPr>
          <w:rFonts w:ascii="Century Gothic" w:eastAsia="Calibri" w:hAnsi="Century Gothic"/>
          <w:b/>
          <w:sz w:val="20"/>
          <w:lang w:val="en-US" w:eastAsia="en-US"/>
        </w:rPr>
      </w:pPr>
      <w:r w:rsidRPr="00686B17">
        <w:rPr>
          <w:rFonts w:ascii="Century Gothic" w:eastAsia="Calibri" w:hAnsi="Century Gothic"/>
          <w:b/>
          <w:sz w:val="20"/>
          <w:lang w:val="en-US" w:eastAsia="en-US"/>
        </w:rPr>
        <w:t>Key mitigation actions to put the overall strategy into actions</w:t>
      </w:r>
    </w:p>
    <w:p w14:paraId="1BEB7721" w14:textId="7DF66D39" w:rsidR="00686B17" w:rsidRPr="00686B17" w:rsidRDefault="00686B17" w:rsidP="00686B17">
      <w:pPr>
        <w:spacing w:after="160" w:line="259" w:lineRule="auto"/>
        <w:jc w:val="both"/>
        <w:rPr>
          <w:rFonts w:ascii="Century Gothic" w:eastAsia="Calibri" w:hAnsi="Century Gothic"/>
          <w:sz w:val="20"/>
          <w:lang w:val="en-US" w:eastAsia="en-US"/>
        </w:rPr>
      </w:pPr>
      <w:r w:rsidRPr="00686B17">
        <w:rPr>
          <w:rFonts w:ascii="Century Gothic" w:eastAsia="Calibri" w:hAnsi="Century Gothic"/>
          <w:sz w:val="20"/>
          <w:lang w:val="en-US" w:eastAsia="en-US"/>
        </w:rPr>
        <w:t xml:space="preserve">The </w:t>
      </w:r>
      <w:r w:rsidRPr="00686B17">
        <w:rPr>
          <w:rFonts w:ascii="Century Gothic" w:eastAsia="Calibri" w:hAnsi="Century Gothic"/>
          <w:color w:val="ED7D31"/>
          <w:sz w:val="20"/>
          <w:lang w:val="en-US" w:eastAsia="en-US"/>
        </w:rPr>
        <w:t xml:space="preserve">Municipality of </w:t>
      </w:r>
      <w:r w:rsidR="0094679C">
        <w:rPr>
          <w:rFonts w:ascii="Century Gothic" w:eastAsia="Calibri" w:hAnsi="Century Gothic"/>
          <w:color w:val="ED7D31"/>
          <w:sz w:val="20"/>
          <w:lang w:val="en-US" w:eastAsia="en-US"/>
        </w:rPr>
        <w:t>Vodnjan</w:t>
      </w:r>
      <w:r w:rsidRPr="00686B17">
        <w:rPr>
          <w:rFonts w:ascii="Century Gothic" w:eastAsia="Calibri" w:hAnsi="Century Gothic"/>
          <w:sz w:val="20"/>
          <w:lang w:val="en-US" w:eastAsia="en-US"/>
        </w:rPr>
        <w:t xml:space="preserve">, </w:t>
      </w:r>
      <w:r w:rsidR="0040357A">
        <w:rPr>
          <w:rFonts w:ascii="Century Gothic" w:eastAsia="Calibri" w:hAnsi="Century Gothic"/>
          <w:sz w:val="20"/>
          <w:lang w:val="en-US" w:eastAsia="en-US"/>
        </w:rPr>
        <w:t>th</w:t>
      </w:r>
      <w:r w:rsidR="00FB6BAC">
        <w:rPr>
          <w:rFonts w:ascii="Century Gothic" w:eastAsia="Calibri" w:hAnsi="Century Gothic"/>
          <w:sz w:val="20"/>
          <w:lang w:val="en-US" w:eastAsia="en-US"/>
        </w:rPr>
        <w:t>r</w:t>
      </w:r>
      <w:r w:rsidR="0040357A">
        <w:rPr>
          <w:rFonts w:ascii="Century Gothic" w:eastAsia="Calibri" w:hAnsi="Century Gothic"/>
          <w:sz w:val="20"/>
          <w:lang w:val="en-US" w:eastAsia="en-US"/>
        </w:rPr>
        <w:t>ough its active participation</w:t>
      </w:r>
      <w:r w:rsidRPr="00686B17">
        <w:rPr>
          <w:rFonts w:ascii="Century Gothic" w:eastAsia="Calibri" w:hAnsi="Century Gothic"/>
          <w:sz w:val="20"/>
          <w:lang w:val="en-US" w:eastAsia="en-US"/>
        </w:rPr>
        <w:t xml:space="preserve"> in the actions of </w:t>
      </w:r>
      <w:proofErr w:type="spellStart"/>
      <w:r w:rsidRPr="00686B17">
        <w:rPr>
          <w:rFonts w:ascii="Century Gothic" w:eastAsia="Calibri" w:hAnsi="Century Gothic"/>
          <w:sz w:val="20"/>
          <w:lang w:val="en-US" w:eastAsia="en-US"/>
        </w:rPr>
        <w:t>H2020</w:t>
      </w:r>
      <w:proofErr w:type="spellEnd"/>
      <w:r w:rsidRPr="00686B17">
        <w:rPr>
          <w:rFonts w:ascii="Century Gothic" w:eastAsia="Calibri" w:hAnsi="Century Gothic"/>
          <w:sz w:val="20"/>
          <w:lang w:val="en-US" w:eastAsia="en-US"/>
        </w:rPr>
        <w:t xml:space="preserve"> Empowering Project and with the rigorous support of the </w:t>
      </w:r>
      <w:r w:rsidR="0094679C">
        <w:rPr>
          <w:rFonts w:ascii="Century Gothic" w:eastAsia="Calibri" w:hAnsi="Century Gothic"/>
          <w:color w:val="ED7D31"/>
          <w:sz w:val="20"/>
          <w:lang w:val="en-US" w:eastAsia="en-US"/>
        </w:rPr>
        <w:t>Istrian development agency - IDA</w:t>
      </w:r>
      <w:r w:rsidRPr="00686B17">
        <w:rPr>
          <w:rFonts w:ascii="Century Gothic" w:eastAsia="Calibri" w:hAnsi="Century Gothic"/>
          <w:sz w:val="20"/>
          <w:lang w:val="en-US" w:eastAsia="en-US"/>
        </w:rPr>
        <w:t xml:space="preserve">, was empowered to identify the energy challenges, set priorities and define actions and measures to be implemented in its territory, in order to accelerate </w:t>
      </w:r>
      <w:r w:rsidR="0040357A">
        <w:rPr>
          <w:rFonts w:ascii="Century Gothic" w:eastAsia="Calibri" w:hAnsi="Century Gothic"/>
          <w:sz w:val="20"/>
          <w:lang w:val="en-US" w:eastAsia="en-US"/>
        </w:rPr>
        <w:t xml:space="preserve">turning </w:t>
      </w:r>
      <w:r w:rsidRPr="00686B17">
        <w:rPr>
          <w:rFonts w:ascii="Century Gothic" w:eastAsia="Calibri" w:hAnsi="Century Gothic"/>
          <w:sz w:val="20"/>
          <w:lang w:val="en-US" w:eastAsia="en-US"/>
        </w:rPr>
        <w:t xml:space="preserve">its vision reality. </w:t>
      </w:r>
    </w:p>
    <w:p w14:paraId="70838C89" w14:textId="586797F6" w:rsidR="00816B74" w:rsidRDefault="00816B74" w:rsidP="00816B74">
      <w:pPr>
        <w:spacing w:after="160" w:line="259" w:lineRule="auto"/>
        <w:jc w:val="both"/>
        <w:rPr>
          <w:rFonts w:ascii="Century Gothic" w:eastAsia="Calibri" w:hAnsi="Century Gothic"/>
          <w:sz w:val="20"/>
          <w:lang w:val="en-US" w:eastAsia="en-US"/>
        </w:rPr>
      </w:pPr>
      <w:r w:rsidRPr="00321E24">
        <w:rPr>
          <w:rFonts w:ascii="Century Gothic" w:eastAsia="Calibri" w:hAnsi="Century Gothic" w:cs="Arial"/>
          <w:color w:val="ED7D31"/>
          <w:sz w:val="20"/>
          <w:szCs w:val="20"/>
          <w:lang w:val="en-GB" w:eastAsia="en-US"/>
        </w:rPr>
        <w:t xml:space="preserve">The SEAP proposes 16 measures </w:t>
      </w:r>
      <w:r>
        <w:rPr>
          <w:rFonts w:ascii="Century Gothic" w:eastAsia="Calibri" w:hAnsi="Century Gothic" w:cs="Arial"/>
          <w:color w:val="ED7D31"/>
          <w:sz w:val="20"/>
          <w:szCs w:val="20"/>
          <w:lang w:val="en-GB" w:eastAsia="en-US"/>
        </w:rPr>
        <w:t>i</w:t>
      </w:r>
      <w:r w:rsidRPr="00321E24">
        <w:rPr>
          <w:rFonts w:ascii="Century Gothic" w:eastAsia="Calibri" w:hAnsi="Century Gothic" w:cs="Arial"/>
          <w:color w:val="ED7D31"/>
          <w:sz w:val="20"/>
          <w:szCs w:val="20"/>
          <w:lang w:val="en-GB" w:eastAsia="en-US"/>
        </w:rPr>
        <w:t>n the building sector, 8 measures in the transport sector and 1 measure in the public lighting sector</w:t>
      </w:r>
      <w:r>
        <w:rPr>
          <w:rFonts w:ascii="Century Gothic" w:eastAsia="Calibri" w:hAnsi="Century Gothic" w:cs="Arial"/>
          <w:color w:val="ED7D31"/>
          <w:sz w:val="20"/>
          <w:szCs w:val="20"/>
          <w:lang w:val="en-GB" w:eastAsia="en-US"/>
        </w:rPr>
        <w:t>.</w:t>
      </w:r>
    </w:p>
    <w:p w14:paraId="01B346AE" w14:textId="77777777" w:rsidR="00816B74" w:rsidRPr="00686B17" w:rsidRDefault="00816B74" w:rsidP="00816B74">
      <w:pPr>
        <w:keepNext/>
        <w:spacing w:line="240" w:lineRule="auto"/>
        <w:jc w:val="both"/>
        <w:rPr>
          <w:rFonts w:ascii="Century Gothic" w:eastAsia="Calibri" w:hAnsi="Century Gothic"/>
          <w:i/>
          <w:iCs/>
          <w:color w:val="44546A"/>
          <w:sz w:val="18"/>
          <w:szCs w:val="18"/>
          <w:lang w:val="en-US" w:eastAsia="en-US"/>
        </w:rPr>
      </w:pPr>
      <w:r w:rsidRPr="00686B17">
        <w:rPr>
          <w:rFonts w:ascii="Century Gothic" w:eastAsia="Calibri" w:hAnsi="Century Gothic"/>
          <w:i/>
          <w:iCs/>
          <w:color w:val="44546A"/>
          <w:sz w:val="18"/>
          <w:szCs w:val="18"/>
          <w:lang w:eastAsia="en-US"/>
        </w:rPr>
        <w:t xml:space="preserve">Table </w:t>
      </w:r>
      <w:r w:rsidRPr="00686B17">
        <w:rPr>
          <w:rFonts w:ascii="Century Gothic" w:eastAsia="Calibri" w:hAnsi="Century Gothic"/>
          <w:i/>
          <w:iCs/>
          <w:color w:val="44546A"/>
          <w:sz w:val="18"/>
          <w:szCs w:val="18"/>
          <w:lang w:eastAsia="en-US"/>
        </w:rPr>
        <w:fldChar w:fldCharType="begin"/>
      </w:r>
      <w:r w:rsidRPr="00686B17">
        <w:rPr>
          <w:rFonts w:ascii="Century Gothic" w:eastAsia="Calibri" w:hAnsi="Century Gothic"/>
          <w:i/>
          <w:iCs/>
          <w:color w:val="44546A"/>
          <w:sz w:val="18"/>
          <w:szCs w:val="18"/>
          <w:lang w:eastAsia="en-US"/>
        </w:rPr>
        <w:instrText xml:space="preserve"> SEQ Table \* ARABIC </w:instrText>
      </w:r>
      <w:r w:rsidRPr="00686B17">
        <w:rPr>
          <w:rFonts w:ascii="Century Gothic" w:eastAsia="Calibri" w:hAnsi="Century Gothic"/>
          <w:i/>
          <w:iCs/>
          <w:color w:val="44546A"/>
          <w:sz w:val="18"/>
          <w:szCs w:val="18"/>
          <w:lang w:eastAsia="en-US"/>
        </w:rPr>
        <w:fldChar w:fldCharType="separate"/>
      </w:r>
      <w:r>
        <w:rPr>
          <w:rFonts w:ascii="Century Gothic" w:eastAsia="Calibri" w:hAnsi="Century Gothic"/>
          <w:i/>
          <w:iCs/>
          <w:noProof/>
          <w:color w:val="44546A"/>
          <w:sz w:val="18"/>
          <w:szCs w:val="18"/>
          <w:lang w:eastAsia="en-US"/>
        </w:rPr>
        <w:t>6</w:t>
      </w:r>
      <w:r w:rsidRPr="00686B17">
        <w:rPr>
          <w:rFonts w:ascii="Century Gothic" w:eastAsia="Calibri" w:hAnsi="Century Gothic"/>
          <w:i/>
          <w:iCs/>
          <w:color w:val="44546A"/>
          <w:sz w:val="18"/>
          <w:szCs w:val="18"/>
          <w:lang w:eastAsia="en-US"/>
        </w:rPr>
        <w:fldChar w:fldCharType="end"/>
      </w:r>
      <w:r w:rsidRPr="00686B17">
        <w:rPr>
          <w:rFonts w:ascii="Century Gothic" w:eastAsia="Calibri" w:hAnsi="Century Gothic"/>
          <w:i/>
          <w:iCs/>
          <w:color w:val="44546A"/>
          <w:sz w:val="18"/>
          <w:szCs w:val="18"/>
          <w:lang w:val="en-US" w:eastAsia="en-US"/>
        </w:rPr>
        <w:t xml:space="preserve">: </w:t>
      </w:r>
      <w:r>
        <w:rPr>
          <w:rFonts w:ascii="Century Gothic" w:eastAsia="Calibri" w:hAnsi="Century Gothic"/>
          <w:i/>
          <w:iCs/>
          <w:color w:val="44546A"/>
          <w:sz w:val="18"/>
          <w:szCs w:val="18"/>
          <w:lang w:val="en-US" w:eastAsia="en-US"/>
        </w:rPr>
        <w:t>The key measure in the building sector</w:t>
      </w:r>
    </w:p>
    <w:p w14:paraId="55AB2BB2" w14:textId="06D59B99" w:rsidR="00816B74" w:rsidRPr="00686B17" w:rsidRDefault="00816B74" w:rsidP="00816B74">
      <w:pPr>
        <w:spacing w:after="160" w:line="259" w:lineRule="auto"/>
        <w:jc w:val="both"/>
        <w:rPr>
          <w:rFonts w:ascii="Century Gothic" w:eastAsia="Calibri" w:hAnsi="Century Gothic"/>
          <w:sz w:val="20"/>
          <w:lang w:val="en-US" w:eastAsia="en-US"/>
        </w:rPr>
      </w:pPr>
    </w:p>
    <w:tbl>
      <w:tblPr>
        <w:tblW w:w="5000" w:type="pct"/>
        <w:tblBorders>
          <w:top w:val="single" w:sz="12" w:space="0" w:color="385623"/>
          <w:left w:val="single" w:sz="12" w:space="0" w:color="385623"/>
          <w:bottom w:val="single" w:sz="12" w:space="0" w:color="385623"/>
          <w:right w:val="single" w:sz="12" w:space="0" w:color="385623"/>
          <w:insideH w:val="single" w:sz="12" w:space="0" w:color="385623"/>
          <w:insideV w:val="single" w:sz="12" w:space="0" w:color="385623"/>
        </w:tblBorders>
        <w:tblCellMar>
          <w:left w:w="70" w:type="dxa"/>
          <w:right w:w="70" w:type="dxa"/>
        </w:tblCellMar>
        <w:tblLook w:val="04A0" w:firstRow="1" w:lastRow="0" w:firstColumn="1" w:lastColumn="0" w:noHBand="0" w:noVBand="1"/>
      </w:tblPr>
      <w:tblGrid>
        <w:gridCol w:w="2138"/>
        <w:gridCol w:w="2332"/>
        <w:gridCol w:w="979"/>
        <w:gridCol w:w="2095"/>
        <w:gridCol w:w="1541"/>
      </w:tblGrid>
      <w:tr w:rsidR="00816B74" w:rsidRPr="006836DF" w14:paraId="686BA300" w14:textId="77777777" w:rsidTr="00742086">
        <w:trPr>
          <w:trHeight w:val="315"/>
        </w:trPr>
        <w:tc>
          <w:tcPr>
            <w:tcW w:w="1951" w:type="pct"/>
            <w:shd w:val="clear" w:color="auto" w:fill="auto"/>
            <w:noWrap/>
            <w:vAlign w:val="center"/>
            <w:hideMark/>
          </w:tcPr>
          <w:p w14:paraId="22B82522"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 xml:space="preserve">Action/Measure </w:t>
            </w:r>
          </w:p>
        </w:tc>
        <w:tc>
          <w:tcPr>
            <w:tcW w:w="3049" w:type="pct"/>
            <w:gridSpan w:val="4"/>
            <w:shd w:val="clear" w:color="auto" w:fill="auto"/>
            <w:noWrap/>
            <w:vAlign w:val="center"/>
            <w:hideMark/>
          </w:tcPr>
          <w:p w14:paraId="0D754F30" w14:textId="77777777" w:rsidR="00816B74" w:rsidRPr="00686B17" w:rsidRDefault="00816B74" w:rsidP="00742086">
            <w:pPr>
              <w:spacing w:after="0" w:line="240" w:lineRule="auto"/>
              <w:rPr>
                <w:rFonts w:eastAsia="Calibri" w:cs="Calibri"/>
                <w:b/>
                <w:bCs/>
                <w:color w:val="ED7D31"/>
                <w:lang w:val="en-GB" w:eastAsia="en-US"/>
              </w:rPr>
            </w:pPr>
            <w:r w:rsidRPr="00C27979">
              <w:rPr>
                <w:rFonts w:eastAsia="Calibri" w:cs="Calibri"/>
                <w:b/>
                <w:bCs/>
                <w:color w:val="ED7D31"/>
                <w:lang w:val="en-GB" w:eastAsia="en-US"/>
              </w:rPr>
              <w:t>Encouraging of thermal insulation of buildings envelope and roof in residential buildings</w:t>
            </w:r>
          </w:p>
        </w:tc>
      </w:tr>
      <w:tr w:rsidR="00816B74" w:rsidRPr="006836DF" w14:paraId="04F2612F" w14:textId="77777777" w:rsidTr="00742086">
        <w:trPr>
          <w:trHeight w:val="315"/>
        </w:trPr>
        <w:tc>
          <w:tcPr>
            <w:tcW w:w="1951" w:type="pct"/>
            <w:shd w:val="clear" w:color="auto" w:fill="auto"/>
            <w:noWrap/>
            <w:vAlign w:val="center"/>
            <w:hideMark/>
          </w:tcPr>
          <w:p w14:paraId="04592A8B"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Area</w:t>
            </w:r>
          </w:p>
        </w:tc>
        <w:tc>
          <w:tcPr>
            <w:tcW w:w="3049" w:type="pct"/>
            <w:gridSpan w:val="4"/>
            <w:shd w:val="clear" w:color="auto" w:fill="auto"/>
            <w:noWrap/>
            <w:vAlign w:val="center"/>
            <w:hideMark/>
          </w:tcPr>
          <w:p w14:paraId="6BC1CD6B" w14:textId="77777777" w:rsidR="00816B74" w:rsidRPr="00686B17" w:rsidRDefault="00816B74" w:rsidP="00742086">
            <w:pPr>
              <w:spacing w:after="0" w:line="240" w:lineRule="auto"/>
              <w:rPr>
                <w:rFonts w:eastAsia="Calibri" w:cs="Calibri"/>
                <w:color w:val="000000"/>
                <w:lang w:val="en-GB" w:eastAsia="en-US"/>
              </w:rPr>
            </w:pPr>
            <w:r w:rsidRPr="00C27979">
              <w:rPr>
                <w:rFonts w:eastAsia="Calibri" w:cs="Calibri"/>
                <w:i/>
                <w:color w:val="ED7D31"/>
                <w:lang w:val="en-GB" w:eastAsia="en-US"/>
              </w:rPr>
              <w:t>Building envelope</w:t>
            </w:r>
          </w:p>
        </w:tc>
      </w:tr>
      <w:tr w:rsidR="00816B74" w:rsidRPr="006836DF" w14:paraId="565414F5" w14:textId="77777777" w:rsidTr="00742086">
        <w:trPr>
          <w:trHeight w:val="315"/>
        </w:trPr>
        <w:tc>
          <w:tcPr>
            <w:tcW w:w="1951" w:type="pct"/>
            <w:shd w:val="clear" w:color="auto" w:fill="auto"/>
            <w:noWrap/>
            <w:vAlign w:val="center"/>
          </w:tcPr>
          <w:p w14:paraId="6186FD59"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Description</w:t>
            </w:r>
          </w:p>
        </w:tc>
        <w:tc>
          <w:tcPr>
            <w:tcW w:w="3049" w:type="pct"/>
            <w:gridSpan w:val="4"/>
            <w:shd w:val="clear" w:color="auto" w:fill="auto"/>
            <w:noWrap/>
            <w:vAlign w:val="center"/>
          </w:tcPr>
          <w:p w14:paraId="12B21ECB" w14:textId="77777777" w:rsidR="00816B74" w:rsidRPr="00686B17" w:rsidRDefault="00816B74" w:rsidP="00742086">
            <w:pPr>
              <w:spacing w:after="0" w:line="240" w:lineRule="auto"/>
              <w:rPr>
                <w:rFonts w:eastAsia="Calibri" w:cs="Calibri"/>
                <w:color w:val="000000"/>
                <w:lang w:val="en-GB" w:eastAsia="en-US"/>
              </w:rPr>
            </w:pPr>
            <w:r w:rsidRPr="00C27979">
              <w:rPr>
                <w:rFonts w:eastAsia="Calibri" w:cs="Calibri"/>
                <w:i/>
                <w:color w:val="ED7D31"/>
                <w:lang w:val="en-GB" w:eastAsia="en-US"/>
              </w:rPr>
              <w:t>Energy management</w:t>
            </w:r>
          </w:p>
        </w:tc>
      </w:tr>
      <w:tr w:rsidR="00816B74" w:rsidRPr="006836DF" w14:paraId="54E1F304" w14:textId="77777777" w:rsidTr="00742086">
        <w:trPr>
          <w:trHeight w:val="315"/>
        </w:trPr>
        <w:tc>
          <w:tcPr>
            <w:tcW w:w="1951" w:type="pct"/>
            <w:shd w:val="clear" w:color="auto" w:fill="auto"/>
            <w:noWrap/>
            <w:vAlign w:val="center"/>
            <w:hideMark/>
          </w:tcPr>
          <w:p w14:paraId="72B4D238"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Priority</w:t>
            </w:r>
          </w:p>
        </w:tc>
        <w:tc>
          <w:tcPr>
            <w:tcW w:w="1451" w:type="pct"/>
            <w:gridSpan w:val="2"/>
            <w:shd w:val="clear" w:color="auto" w:fill="auto"/>
            <w:noWrap/>
            <w:vAlign w:val="center"/>
            <w:hideMark/>
          </w:tcPr>
          <w:p w14:paraId="1DF198AB" w14:textId="77777777" w:rsidR="00816B74" w:rsidRPr="00686B17" w:rsidRDefault="00816B74" w:rsidP="00742086">
            <w:pPr>
              <w:spacing w:after="0" w:line="240" w:lineRule="auto"/>
              <w:rPr>
                <w:rFonts w:eastAsia="Calibri" w:cs="Calibri"/>
                <w:color w:val="ED7D31"/>
                <w:lang w:val="en-GB" w:eastAsia="en-US"/>
              </w:rPr>
            </w:pPr>
            <w:r w:rsidRPr="00686B17">
              <w:rPr>
                <w:rFonts w:eastAsia="Calibri" w:cs="Calibri"/>
                <w:color w:val="ED7D31"/>
                <w:lang w:val="en-GB" w:eastAsia="en-US"/>
              </w:rPr>
              <w:t>High</w:t>
            </w:r>
          </w:p>
        </w:tc>
        <w:tc>
          <w:tcPr>
            <w:tcW w:w="924" w:type="pct"/>
            <w:shd w:val="clear" w:color="auto" w:fill="auto"/>
            <w:noWrap/>
            <w:vAlign w:val="center"/>
            <w:hideMark/>
          </w:tcPr>
          <w:p w14:paraId="587AA85E"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Start Year</w:t>
            </w:r>
          </w:p>
        </w:tc>
        <w:tc>
          <w:tcPr>
            <w:tcW w:w="674" w:type="pct"/>
            <w:shd w:val="clear" w:color="auto" w:fill="auto"/>
            <w:noWrap/>
            <w:vAlign w:val="center"/>
            <w:hideMark/>
          </w:tcPr>
          <w:p w14:paraId="749A0C97" w14:textId="77777777" w:rsidR="00816B74" w:rsidRPr="00686B17" w:rsidRDefault="00816B74" w:rsidP="00742086">
            <w:pPr>
              <w:spacing w:after="0" w:line="240" w:lineRule="auto"/>
              <w:rPr>
                <w:rFonts w:eastAsia="Calibri" w:cs="Calibri"/>
                <w:i/>
                <w:color w:val="ED7D31"/>
                <w:lang w:val="en-GB" w:eastAsia="en-US"/>
              </w:rPr>
            </w:pPr>
            <w:r>
              <w:rPr>
                <w:rFonts w:eastAsia="Calibri" w:cs="Calibri"/>
                <w:i/>
                <w:color w:val="ED7D31"/>
                <w:lang w:val="en-GB" w:eastAsia="en-US"/>
              </w:rPr>
              <w:t>2019</w:t>
            </w:r>
          </w:p>
        </w:tc>
      </w:tr>
      <w:tr w:rsidR="00816B74" w:rsidRPr="006836DF" w14:paraId="58B611CC" w14:textId="77777777" w:rsidTr="00742086">
        <w:trPr>
          <w:trHeight w:val="315"/>
        </w:trPr>
        <w:tc>
          <w:tcPr>
            <w:tcW w:w="1951" w:type="pct"/>
            <w:shd w:val="clear" w:color="auto" w:fill="auto"/>
            <w:noWrap/>
            <w:vAlign w:val="center"/>
            <w:hideMark/>
          </w:tcPr>
          <w:p w14:paraId="7B34CB86"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Status of implementation</w:t>
            </w:r>
          </w:p>
        </w:tc>
        <w:tc>
          <w:tcPr>
            <w:tcW w:w="1451" w:type="pct"/>
            <w:gridSpan w:val="2"/>
            <w:shd w:val="clear" w:color="auto" w:fill="auto"/>
            <w:noWrap/>
            <w:vAlign w:val="center"/>
            <w:hideMark/>
          </w:tcPr>
          <w:p w14:paraId="3370C32D" w14:textId="77777777" w:rsidR="00816B74" w:rsidRPr="00C27979" w:rsidRDefault="00816B74" w:rsidP="00742086">
            <w:pPr>
              <w:spacing w:after="0" w:line="240" w:lineRule="auto"/>
              <w:rPr>
                <w:rFonts w:eastAsia="Calibri" w:cs="Calibri"/>
                <w:i/>
                <w:color w:val="ED7D31"/>
                <w:lang w:val="en-GB" w:eastAsia="en-US"/>
              </w:rPr>
            </w:pPr>
            <w:r w:rsidRPr="00686B17">
              <w:rPr>
                <w:rFonts w:eastAsia="Calibri" w:cs="Calibri"/>
                <w:i/>
                <w:color w:val="ED7D31"/>
                <w:lang w:val="en-GB" w:eastAsia="en-US"/>
              </w:rPr>
              <w:t>Ongoing</w:t>
            </w:r>
          </w:p>
        </w:tc>
        <w:tc>
          <w:tcPr>
            <w:tcW w:w="924" w:type="pct"/>
            <w:shd w:val="clear" w:color="auto" w:fill="auto"/>
            <w:noWrap/>
            <w:vAlign w:val="center"/>
            <w:hideMark/>
          </w:tcPr>
          <w:p w14:paraId="07FC539E"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Ending Year</w:t>
            </w:r>
          </w:p>
        </w:tc>
        <w:tc>
          <w:tcPr>
            <w:tcW w:w="674" w:type="pct"/>
            <w:shd w:val="clear" w:color="auto" w:fill="auto"/>
            <w:noWrap/>
            <w:vAlign w:val="center"/>
            <w:hideMark/>
          </w:tcPr>
          <w:p w14:paraId="762085B3" w14:textId="77777777" w:rsidR="00816B74" w:rsidRPr="00686B17" w:rsidRDefault="00816B74" w:rsidP="00742086">
            <w:pPr>
              <w:spacing w:after="0" w:line="240" w:lineRule="auto"/>
              <w:rPr>
                <w:rFonts w:eastAsia="Calibri" w:cs="Calibri"/>
                <w:color w:val="000000"/>
                <w:lang w:val="en-GB" w:eastAsia="en-US"/>
              </w:rPr>
            </w:pPr>
            <w:r>
              <w:rPr>
                <w:rFonts w:eastAsia="Calibri" w:cs="Calibri"/>
                <w:i/>
                <w:color w:val="ED7D31"/>
                <w:lang w:val="en-GB" w:eastAsia="en-US"/>
              </w:rPr>
              <w:t>2030</w:t>
            </w:r>
          </w:p>
        </w:tc>
      </w:tr>
      <w:tr w:rsidR="00816B74" w:rsidRPr="006836DF" w14:paraId="419C60C3" w14:textId="77777777" w:rsidTr="00742086">
        <w:trPr>
          <w:trHeight w:val="315"/>
        </w:trPr>
        <w:tc>
          <w:tcPr>
            <w:tcW w:w="1951" w:type="pct"/>
            <w:shd w:val="clear" w:color="auto" w:fill="auto"/>
            <w:noWrap/>
            <w:vAlign w:val="center"/>
            <w:hideMark/>
          </w:tcPr>
          <w:p w14:paraId="5BD59CFE"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Main responsible for the measure</w:t>
            </w:r>
          </w:p>
        </w:tc>
        <w:tc>
          <w:tcPr>
            <w:tcW w:w="3049" w:type="pct"/>
            <w:gridSpan w:val="4"/>
            <w:shd w:val="clear" w:color="auto" w:fill="auto"/>
            <w:noWrap/>
            <w:vAlign w:val="center"/>
            <w:hideMark/>
          </w:tcPr>
          <w:p w14:paraId="2CF4ACF8" w14:textId="77777777" w:rsidR="00816B74" w:rsidRPr="00686B17" w:rsidRDefault="00816B74" w:rsidP="00742086">
            <w:pPr>
              <w:spacing w:after="0" w:line="240" w:lineRule="auto"/>
              <w:rPr>
                <w:rFonts w:eastAsia="Calibri" w:cs="Calibri"/>
                <w:i/>
                <w:color w:val="ED7D31"/>
                <w:lang w:val="en-GB" w:eastAsia="en-US"/>
              </w:rPr>
            </w:pPr>
            <w:r w:rsidRPr="00C27979">
              <w:rPr>
                <w:rFonts w:eastAsia="Calibri" w:cs="Calibri"/>
                <w:i/>
                <w:color w:val="ED7D31"/>
                <w:lang w:val="en-GB" w:eastAsia="en-US"/>
              </w:rPr>
              <w:t>Residential buildings owners</w:t>
            </w:r>
          </w:p>
        </w:tc>
      </w:tr>
      <w:tr w:rsidR="00816B74" w:rsidRPr="006836DF" w14:paraId="2C291EEB" w14:textId="77777777" w:rsidTr="00742086">
        <w:trPr>
          <w:trHeight w:val="315"/>
        </w:trPr>
        <w:tc>
          <w:tcPr>
            <w:tcW w:w="1951" w:type="pct"/>
            <w:shd w:val="clear" w:color="auto" w:fill="auto"/>
            <w:noWrap/>
            <w:vAlign w:val="center"/>
            <w:hideMark/>
          </w:tcPr>
          <w:p w14:paraId="2738FB4C"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Stakeholders Involved</w:t>
            </w:r>
          </w:p>
        </w:tc>
        <w:tc>
          <w:tcPr>
            <w:tcW w:w="3049" w:type="pct"/>
            <w:gridSpan w:val="4"/>
            <w:shd w:val="clear" w:color="auto" w:fill="auto"/>
            <w:noWrap/>
            <w:vAlign w:val="center"/>
          </w:tcPr>
          <w:p w14:paraId="500D6002" w14:textId="77777777" w:rsidR="00816B74" w:rsidRPr="00686B17" w:rsidRDefault="00816B74" w:rsidP="00742086">
            <w:pPr>
              <w:spacing w:after="0" w:line="240" w:lineRule="auto"/>
              <w:rPr>
                <w:rFonts w:eastAsia="Calibri" w:cs="Calibri"/>
                <w:i/>
                <w:color w:val="ED7D31"/>
                <w:lang w:val="en-GB" w:eastAsia="en-US"/>
              </w:rPr>
            </w:pPr>
            <w:r w:rsidRPr="00C27979">
              <w:rPr>
                <w:rFonts w:eastAsia="Calibri" w:cs="Calibri"/>
                <w:i/>
                <w:color w:val="ED7D31"/>
                <w:lang w:val="en-GB" w:eastAsia="en-US"/>
              </w:rPr>
              <w:t>Residential buildings owners</w:t>
            </w:r>
          </w:p>
        </w:tc>
      </w:tr>
      <w:tr w:rsidR="00816B74" w:rsidRPr="006836DF" w14:paraId="25807655" w14:textId="77777777" w:rsidTr="00742086">
        <w:trPr>
          <w:trHeight w:val="315"/>
        </w:trPr>
        <w:tc>
          <w:tcPr>
            <w:tcW w:w="1951" w:type="pct"/>
            <w:shd w:val="clear" w:color="auto" w:fill="auto"/>
            <w:noWrap/>
            <w:vAlign w:val="center"/>
            <w:hideMark/>
          </w:tcPr>
          <w:p w14:paraId="4093F051"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budget</w:t>
            </w:r>
          </w:p>
        </w:tc>
        <w:tc>
          <w:tcPr>
            <w:tcW w:w="3049" w:type="pct"/>
            <w:gridSpan w:val="4"/>
            <w:shd w:val="clear" w:color="auto" w:fill="auto"/>
            <w:noWrap/>
            <w:vAlign w:val="center"/>
            <w:hideMark/>
          </w:tcPr>
          <w:p w14:paraId="06773031" w14:textId="75D1F06B" w:rsidR="00816B74" w:rsidRPr="00686B17" w:rsidRDefault="00816B74" w:rsidP="00742086">
            <w:pPr>
              <w:spacing w:after="0" w:line="240" w:lineRule="auto"/>
              <w:rPr>
                <w:rFonts w:eastAsia="Calibri" w:cs="Calibri"/>
                <w:color w:val="000000"/>
                <w:lang w:val="en-GB" w:eastAsia="en-US"/>
              </w:rPr>
            </w:pPr>
            <w:r>
              <w:rPr>
                <w:rFonts w:eastAsia="Calibri" w:cs="Calibri"/>
                <w:color w:val="ED7D31"/>
                <w:lang w:val="en-GB" w:eastAsia="en-US"/>
              </w:rPr>
              <w:t xml:space="preserve">60,000 </w:t>
            </w:r>
            <w:r w:rsidRPr="00686B17">
              <w:rPr>
                <w:rFonts w:eastAsia="Calibri" w:cs="Calibri"/>
                <w:color w:val="ED7D31"/>
                <w:lang w:val="en-GB" w:eastAsia="en-US"/>
              </w:rPr>
              <w:t>€</w:t>
            </w:r>
          </w:p>
        </w:tc>
      </w:tr>
      <w:tr w:rsidR="00816B74" w:rsidRPr="00C27979" w14:paraId="16BAF9EA" w14:textId="77777777" w:rsidTr="00742086">
        <w:trPr>
          <w:trHeight w:val="315"/>
        </w:trPr>
        <w:tc>
          <w:tcPr>
            <w:tcW w:w="1951" w:type="pct"/>
            <w:shd w:val="clear" w:color="auto" w:fill="auto"/>
            <w:noWrap/>
            <w:vAlign w:val="center"/>
            <w:hideMark/>
          </w:tcPr>
          <w:p w14:paraId="4C486D00"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Funding source</w:t>
            </w:r>
          </w:p>
        </w:tc>
        <w:tc>
          <w:tcPr>
            <w:tcW w:w="3049" w:type="pct"/>
            <w:gridSpan w:val="4"/>
            <w:shd w:val="clear" w:color="auto" w:fill="auto"/>
            <w:noWrap/>
            <w:vAlign w:val="center"/>
            <w:hideMark/>
          </w:tcPr>
          <w:p w14:paraId="118A75D7" w14:textId="77777777" w:rsidR="00816B74" w:rsidRDefault="00816B74" w:rsidP="00742086">
            <w:pPr>
              <w:spacing w:after="0" w:line="240" w:lineRule="auto"/>
              <w:rPr>
                <w:rFonts w:eastAsia="Calibri" w:cs="Calibri"/>
                <w:i/>
                <w:color w:val="ED7D31"/>
                <w:lang w:val="en-GB" w:eastAsia="en-US"/>
              </w:rPr>
            </w:pPr>
            <w:r>
              <w:rPr>
                <w:rFonts w:eastAsia="Calibri" w:cs="Calibri"/>
                <w:i/>
                <w:color w:val="ED7D31"/>
                <w:lang w:val="en-GB" w:eastAsia="en-US"/>
              </w:rPr>
              <w:t>City budget</w:t>
            </w:r>
          </w:p>
          <w:p w14:paraId="07D76E9C" w14:textId="77777777" w:rsidR="00816B74" w:rsidRDefault="00816B74" w:rsidP="00742086">
            <w:pPr>
              <w:spacing w:after="0" w:line="240" w:lineRule="auto"/>
              <w:rPr>
                <w:rFonts w:eastAsia="Calibri" w:cs="Calibri"/>
                <w:i/>
                <w:color w:val="ED7D31"/>
                <w:lang w:val="en-GB" w:eastAsia="en-US"/>
              </w:rPr>
            </w:pPr>
            <w:r>
              <w:rPr>
                <w:rFonts w:eastAsia="Calibri" w:cs="Calibri"/>
                <w:i/>
                <w:color w:val="ED7D31"/>
                <w:lang w:val="en-GB" w:eastAsia="en-US"/>
              </w:rPr>
              <w:t>Istrian county</w:t>
            </w:r>
          </w:p>
          <w:p w14:paraId="6EBAFE4E" w14:textId="77777777" w:rsidR="00816B74" w:rsidRPr="00C27979" w:rsidRDefault="00816B74" w:rsidP="00742086">
            <w:pPr>
              <w:spacing w:after="0" w:line="240" w:lineRule="auto"/>
              <w:rPr>
                <w:rFonts w:eastAsia="Calibri" w:cs="Calibri"/>
                <w:i/>
                <w:color w:val="ED7D31"/>
                <w:lang w:val="en-GB" w:eastAsia="en-US"/>
              </w:rPr>
            </w:pPr>
            <w:r w:rsidRPr="00C27979">
              <w:rPr>
                <w:rFonts w:eastAsia="Calibri" w:cs="Calibri"/>
                <w:i/>
                <w:color w:val="ED7D31"/>
                <w:lang w:val="en-GB" w:eastAsia="en-US"/>
              </w:rPr>
              <w:t xml:space="preserve">The Environmental Protection and Energy Efficiency Fund (Fond za </w:t>
            </w:r>
            <w:proofErr w:type="spellStart"/>
            <w:r w:rsidRPr="00C27979">
              <w:rPr>
                <w:rFonts w:eastAsia="Calibri" w:cs="Calibri"/>
                <w:i/>
                <w:color w:val="ED7D31"/>
                <w:lang w:val="en-GB" w:eastAsia="en-US"/>
              </w:rPr>
              <w:t>zaštitu</w:t>
            </w:r>
            <w:proofErr w:type="spellEnd"/>
            <w:r w:rsidRPr="00C27979">
              <w:rPr>
                <w:rFonts w:eastAsia="Calibri" w:cs="Calibri"/>
                <w:i/>
                <w:color w:val="ED7D31"/>
                <w:lang w:val="en-GB" w:eastAsia="en-US"/>
              </w:rPr>
              <w:t xml:space="preserve"> </w:t>
            </w:r>
            <w:proofErr w:type="spellStart"/>
            <w:r w:rsidRPr="00C27979">
              <w:rPr>
                <w:rFonts w:eastAsia="Calibri" w:cs="Calibri"/>
                <w:i/>
                <w:color w:val="ED7D31"/>
                <w:lang w:val="en-GB" w:eastAsia="en-US"/>
              </w:rPr>
              <w:t>okoliša</w:t>
            </w:r>
            <w:proofErr w:type="spellEnd"/>
            <w:r w:rsidRPr="00C27979">
              <w:rPr>
                <w:rFonts w:eastAsia="Calibri" w:cs="Calibri"/>
                <w:i/>
                <w:color w:val="ED7D31"/>
                <w:lang w:val="en-GB" w:eastAsia="en-US"/>
              </w:rPr>
              <w:t xml:space="preserve"> </w:t>
            </w:r>
            <w:proofErr w:type="spellStart"/>
            <w:r w:rsidRPr="00C27979">
              <w:rPr>
                <w:rFonts w:eastAsia="Calibri" w:cs="Calibri"/>
                <w:i/>
                <w:color w:val="ED7D31"/>
                <w:lang w:val="en-GB" w:eastAsia="en-US"/>
              </w:rPr>
              <w:t>i</w:t>
            </w:r>
            <w:proofErr w:type="spellEnd"/>
            <w:r w:rsidRPr="00C27979">
              <w:rPr>
                <w:rFonts w:eastAsia="Calibri" w:cs="Calibri"/>
                <w:i/>
                <w:color w:val="ED7D31"/>
                <w:lang w:val="en-GB" w:eastAsia="en-US"/>
              </w:rPr>
              <w:t xml:space="preserve"> </w:t>
            </w:r>
            <w:proofErr w:type="spellStart"/>
            <w:r w:rsidRPr="00C27979">
              <w:rPr>
                <w:rFonts w:eastAsia="Calibri" w:cs="Calibri"/>
                <w:i/>
                <w:color w:val="ED7D31"/>
                <w:lang w:val="en-GB" w:eastAsia="en-US"/>
              </w:rPr>
              <w:t>energetsku</w:t>
            </w:r>
            <w:proofErr w:type="spellEnd"/>
            <w:r w:rsidRPr="00C27979">
              <w:rPr>
                <w:rFonts w:eastAsia="Calibri" w:cs="Calibri"/>
                <w:i/>
                <w:color w:val="ED7D31"/>
                <w:lang w:val="en-GB" w:eastAsia="en-US"/>
              </w:rPr>
              <w:t xml:space="preserve"> </w:t>
            </w:r>
            <w:proofErr w:type="spellStart"/>
            <w:r w:rsidRPr="00C27979">
              <w:rPr>
                <w:rFonts w:eastAsia="Calibri" w:cs="Calibri"/>
                <w:i/>
                <w:color w:val="ED7D31"/>
                <w:lang w:val="en-GB" w:eastAsia="en-US"/>
              </w:rPr>
              <w:t>učinkovitost</w:t>
            </w:r>
            <w:proofErr w:type="spellEnd"/>
            <w:r w:rsidRPr="00C27979">
              <w:rPr>
                <w:rFonts w:eastAsia="Calibri" w:cs="Calibri"/>
                <w:i/>
                <w:color w:val="ED7D31"/>
                <w:lang w:val="en-GB" w:eastAsia="en-US"/>
              </w:rPr>
              <w:t xml:space="preserve"> - </w:t>
            </w:r>
            <w:proofErr w:type="spellStart"/>
            <w:r w:rsidRPr="00C27979">
              <w:rPr>
                <w:rFonts w:eastAsia="Calibri" w:cs="Calibri"/>
                <w:i/>
                <w:color w:val="ED7D31"/>
                <w:lang w:val="en-GB" w:eastAsia="en-US"/>
              </w:rPr>
              <w:t>FZOEU</w:t>
            </w:r>
            <w:proofErr w:type="spellEnd"/>
            <w:r w:rsidRPr="00C27979">
              <w:rPr>
                <w:rFonts w:eastAsia="Calibri" w:cs="Calibri"/>
                <w:i/>
                <w:color w:val="ED7D31"/>
                <w:lang w:val="en-GB" w:eastAsia="en-US"/>
              </w:rPr>
              <w:t>)</w:t>
            </w:r>
          </w:p>
        </w:tc>
      </w:tr>
      <w:tr w:rsidR="00816B74" w:rsidRPr="006836DF" w14:paraId="3BFA9E4E" w14:textId="77777777" w:rsidTr="00742086">
        <w:trPr>
          <w:trHeight w:val="330"/>
        </w:trPr>
        <w:tc>
          <w:tcPr>
            <w:tcW w:w="5000" w:type="pct"/>
            <w:gridSpan w:val="5"/>
            <w:shd w:val="clear" w:color="auto" w:fill="E7E6E6"/>
            <w:noWrap/>
            <w:vAlign w:val="center"/>
            <w:hideMark/>
          </w:tcPr>
          <w:p w14:paraId="1E1237FD" w14:textId="77777777" w:rsidR="00816B74" w:rsidRPr="006836DF" w:rsidRDefault="00816B74" w:rsidP="00742086">
            <w:pPr>
              <w:spacing w:after="0" w:line="240" w:lineRule="auto"/>
              <w:rPr>
                <w:rFonts w:eastAsia="Calibri" w:cs="Calibri"/>
                <w:b/>
                <w:bCs/>
                <w:color w:val="7F6000"/>
                <w:sz w:val="24"/>
                <w:lang w:val="en-GB" w:eastAsia="en-US"/>
              </w:rPr>
            </w:pPr>
            <w:r w:rsidRPr="006836DF">
              <w:rPr>
                <w:rFonts w:eastAsia="Calibri" w:cs="Calibri"/>
                <w:b/>
                <w:bCs/>
                <w:color w:val="7F6000"/>
                <w:sz w:val="24"/>
                <w:lang w:val="en-GB" w:eastAsia="en-US"/>
              </w:rPr>
              <w:t>Expected results</w:t>
            </w:r>
          </w:p>
        </w:tc>
      </w:tr>
      <w:tr w:rsidR="00816B74" w:rsidRPr="006836DF" w14:paraId="0B454D8E" w14:textId="77777777" w:rsidTr="00742086">
        <w:trPr>
          <w:trHeight w:val="315"/>
        </w:trPr>
        <w:tc>
          <w:tcPr>
            <w:tcW w:w="2982" w:type="pct"/>
            <w:gridSpan w:val="2"/>
            <w:shd w:val="clear" w:color="auto" w:fill="auto"/>
            <w:noWrap/>
            <w:vAlign w:val="center"/>
            <w:hideMark/>
          </w:tcPr>
          <w:p w14:paraId="1897F56C"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CO</w:t>
            </w:r>
            <w:r w:rsidRPr="0040357A">
              <w:rPr>
                <w:rFonts w:eastAsia="Calibri" w:cs="Calibri"/>
                <w:b/>
                <w:bCs/>
                <w:color w:val="000000"/>
                <w:vertAlign w:val="subscript"/>
                <w:lang w:val="en-GB" w:eastAsia="en-US"/>
              </w:rPr>
              <w:t>2</w:t>
            </w:r>
            <w:r w:rsidRPr="00686B17">
              <w:rPr>
                <w:rFonts w:eastAsia="Calibri" w:cs="Calibri"/>
                <w:b/>
                <w:bCs/>
                <w:color w:val="000000"/>
                <w:lang w:val="en-GB" w:eastAsia="en-US"/>
              </w:rPr>
              <w:t xml:space="preserve"> reduction CO</w:t>
            </w:r>
            <w:r w:rsidRPr="0040357A">
              <w:rPr>
                <w:rFonts w:eastAsia="Calibri" w:cs="Calibri"/>
                <w:b/>
                <w:bCs/>
                <w:color w:val="000000"/>
                <w:vertAlign w:val="subscript"/>
                <w:lang w:val="en-GB" w:eastAsia="en-US"/>
              </w:rPr>
              <w:t>2</w:t>
            </w:r>
            <w:r w:rsidRPr="00686B17">
              <w:rPr>
                <w:rFonts w:eastAsia="Calibri" w:cs="Calibri"/>
                <w:b/>
                <w:bCs/>
                <w:color w:val="000000"/>
                <w:lang w:val="en-GB" w:eastAsia="en-US"/>
              </w:rPr>
              <w:t xml:space="preserve">/a </w:t>
            </w:r>
          </w:p>
        </w:tc>
        <w:tc>
          <w:tcPr>
            <w:tcW w:w="2018" w:type="pct"/>
            <w:gridSpan w:val="3"/>
            <w:shd w:val="clear" w:color="auto" w:fill="auto"/>
            <w:noWrap/>
            <w:vAlign w:val="center"/>
            <w:hideMark/>
          </w:tcPr>
          <w:p w14:paraId="18AEF6F8" w14:textId="7A9360FF" w:rsidR="00816B74" w:rsidRPr="00E9581F" w:rsidRDefault="00816B74" w:rsidP="00742086">
            <w:pPr>
              <w:spacing w:after="0" w:line="240" w:lineRule="auto"/>
              <w:rPr>
                <w:rFonts w:eastAsia="Calibri" w:cs="Calibri"/>
                <w:b/>
                <w:color w:val="ED7D31"/>
                <w:lang w:val="en-GB" w:eastAsia="en-US"/>
              </w:rPr>
            </w:pPr>
            <w:r>
              <w:rPr>
                <w:rFonts w:eastAsia="Calibri" w:cs="Calibri"/>
                <w:color w:val="ED7D31"/>
                <w:lang w:val="en-GB" w:eastAsia="en-US"/>
              </w:rPr>
              <w:t>508.82 t</w:t>
            </w:r>
            <w:r w:rsidRPr="00E9581F">
              <w:rPr>
                <w:rFonts w:eastAsia="Calibri" w:cs="Calibri"/>
                <w:color w:val="ED7D31"/>
                <w:lang w:val="en-GB" w:eastAsia="en-US"/>
              </w:rPr>
              <w:t xml:space="preserve"> CO</w:t>
            </w:r>
            <w:r w:rsidRPr="00E9581F">
              <w:rPr>
                <w:rFonts w:eastAsia="Calibri" w:cs="Calibri"/>
                <w:color w:val="ED7D31"/>
                <w:vertAlign w:val="subscript"/>
                <w:lang w:val="en-GB" w:eastAsia="en-US"/>
              </w:rPr>
              <w:t>2</w:t>
            </w:r>
          </w:p>
        </w:tc>
      </w:tr>
      <w:tr w:rsidR="00816B74" w:rsidRPr="006836DF" w14:paraId="2DF2A631" w14:textId="77777777" w:rsidTr="00742086">
        <w:trPr>
          <w:trHeight w:val="315"/>
        </w:trPr>
        <w:tc>
          <w:tcPr>
            <w:tcW w:w="2982" w:type="pct"/>
            <w:gridSpan w:val="2"/>
            <w:shd w:val="clear" w:color="auto" w:fill="auto"/>
            <w:noWrap/>
            <w:vAlign w:val="center"/>
            <w:hideMark/>
          </w:tcPr>
          <w:p w14:paraId="7CBD02AB"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Energy savings MWh/a</w:t>
            </w:r>
          </w:p>
        </w:tc>
        <w:tc>
          <w:tcPr>
            <w:tcW w:w="2018" w:type="pct"/>
            <w:gridSpan w:val="3"/>
            <w:shd w:val="clear" w:color="auto" w:fill="auto"/>
            <w:noWrap/>
            <w:vAlign w:val="center"/>
            <w:hideMark/>
          </w:tcPr>
          <w:p w14:paraId="7A1C6243" w14:textId="3D0E2554" w:rsidR="00816B74" w:rsidRPr="00C27979" w:rsidRDefault="00816B74" w:rsidP="00742086">
            <w:pPr>
              <w:spacing w:after="0" w:line="240" w:lineRule="auto"/>
              <w:rPr>
                <w:rFonts w:eastAsia="Calibri" w:cs="Calibri"/>
                <w:color w:val="ED7D31"/>
                <w:lang w:val="en-GB" w:eastAsia="en-US"/>
              </w:rPr>
            </w:pPr>
            <w:r>
              <w:rPr>
                <w:rFonts w:eastAsia="Calibri" w:cs="Calibri"/>
                <w:color w:val="ED7D31"/>
                <w:lang w:val="en-GB" w:eastAsia="en-US"/>
              </w:rPr>
              <w:t>2,261.44 MWh</w:t>
            </w:r>
          </w:p>
        </w:tc>
      </w:tr>
      <w:tr w:rsidR="00816B74" w:rsidRPr="006836DF" w14:paraId="25DD58AB" w14:textId="77777777" w:rsidTr="00742086">
        <w:trPr>
          <w:trHeight w:val="315"/>
        </w:trPr>
        <w:tc>
          <w:tcPr>
            <w:tcW w:w="2982" w:type="pct"/>
            <w:gridSpan w:val="2"/>
            <w:shd w:val="clear" w:color="auto" w:fill="auto"/>
            <w:noWrap/>
            <w:vAlign w:val="center"/>
            <w:hideMark/>
          </w:tcPr>
          <w:p w14:paraId="50DE7766"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Renewable energy production MWh/a</w:t>
            </w:r>
          </w:p>
        </w:tc>
        <w:tc>
          <w:tcPr>
            <w:tcW w:w="2018" w:type="pct"/>
            <w:gridSpan w:val="3"/>
            <w:shd w:val="clear" w:color="auto" w:fill="auto"/>
            <w:noWrap/>
            <w:vAlign w:val="center"/>
            <w:hideMark/>
          </w:tcPr>
          <w:p w14:paraId="0197567B" w14:textId="77777777" w:rsidR="00816B74" w:rsidRPr="00686B17" w:rsidRDefault="00816B74" w:rsidP="00742086">
            <w:pPr>
              <w:spacing w:after="0" w:line="240" w:lineRule="auto"/>
              <w:rPr>
                <w:rFonts w:eastAsia="Calibri" w:cs="Calibri"/>
                <w:color w:val="000000"/>
                <w:lang w:val="en-GB" w:eastAsia="en-US"/>
              </w:rPr>
            </w:pPr>
            <w:r>
              <w:rPr>
                <w:rFonts w:eastAsia="Calibri" w:cs="Calibri"/>
                <w:color w:val="ED7D31"/>
                <w:lang w:val="en-GB" w:eastAsia="en-US"/>
              </w:rPr>
              <w:t>0</w:t>
            </w:r>
          </w:p>
        </w:tc>
      </w:tr>
    </w:tbl>
    <w:p w14:paraId="379F6380" w14:textId="77777777" w:rsidR="00816B74" w:rsidRDefault="00816B74" w:rsidP="00816B74">
      <w:pPr>
        <w:spacing w:after="160" w:line="259" w:lineRule="auto"/>
        <w:jc w:val="both"/>
        <w:rPr>
          <w:rFonts w:ascii="Century Gothic" w:eastAsia="Calibri" w:hAnsi="Century Gothic"/>
          <w:sz w:val="20"/>
          <w:lang w:val="en-US" w:eastAsia="en-US"/>
        </w:rPr>
      </w:pPr>
    </w:p>
    <w:p w14:paraId="78B9007F" w14:textId="77777777" w:rsidR="00816B74" w:rsidRPr="00686B17" w:rsidRDefault="00816B74" w:rsidP="00816B74">
      <w:pPr>
        <w:keepNext/>
        <w:spacing w:line="240" w:lineRule="auto"/>
        <w:jc w:val="both"/>
        <w:rPr>
          <w:rFonts w:ascii="Century Gothic" w:eastAsia="Calibri" w:hAnsi="Century Gothic"/>
          <w:i/>
          <w:iCs/>
          <w:color w:val="44546A"/>
          <w:sz w:val="18"/>
          <w:szCs w:val="18"/>
          <w:lang w:val="en-US" w:eastAsia="en-US"/>
        </w:rPr>
      </w:pPr>
      <w:r w:rsidRPr="00686B17">
        <w:rPr>
          <w:rFonts w:ascii="Century Gothic" w:eastAsia="Calibri" w:hAnsi="Century Gothic"/>
          <w:i/>
          <w:iCs/>
          <w:color w:val="44546A"/>
          <w:sz w:val="18"/>
          <w:szCs w:val="18"/>
          <w:lang w:eastAsia="en-US"/>
        </w:rPr>
        <w:lastRenderedPageBreak/>
        <w:t xml:space="preserve">Table </w:t>
      </w:r>
      <w:r w:rsidRPr="00686B17">
        <w:rPr>
          <w:rFonts w:ascii="Century Gothic" w:eastAsia="Calibri" w:hAnsi="Century Gothic"/>
          <w:i/>
          <w:iCs/>
          <w:color w:val="44546A"/>
          <w:sz w:val="18"/>
          <w:szCs w:val="18"/>
          <w:lang w:eastAsia="en-US"/>
        </w:rPr>
        <w:fldChar w:fldCharType="begin"/>
      </w:r>
      <w:r w:rsidRPr="00686B17">
        <w:rPr>
          <w:rFonts w:ascii="Century Gothic" w:eastAsia="Calibri" w:hAnsi="Century Gothic"/>
          <w:i/>
          <w:iCs/>
          <w:color w:val="44546A"/>
          <w:sz w:val="18"/>
          <w:szCs w:val="18"/>
          <w:lang w:eastAsia="en-US"/>
        </w:rPr>
        <w:instrText xml:space="preserve"> SEQ Table \* ARABIC </w:instrText>
      </w:r>
      <w:r w:rsidRPr="00686B17">
        <w:rPr>
          <w:rFonts w:ascii="Century Gothic" w:eastAsia="Calibri" w:hAnsi="Century Gothic"/>
          <w:i/>
          <w:iCs/>
          <w:color w:val="44546A"/>
          <w:sz w:val="18"/>
          <w:szCs w:val="18"/>
          <w:lang w:eastAsia="en-US"/>
        </w:rPr>
        <w:fldChar w:fldCharType="separate"/>
      </w:r>
      <w:r>
        <w:rPr>
          <w:rFonts w:ascii="Century Gothic" w:eastAsia="Calibri" w:hAnsi="Century Gothic"/>
          <w:i/>
          <w:iCs/>
          <w:noProof/>
          <w:color w:val="44546A"/>
          <w:sz w:val="18"/>
          <w:szCs w:val="18"/>
          <w:lang w:eastAsia="en-US"/>
        </w:rPr>
        <w:t>6</w:t>
      </w:r>
      <w:r w:rsidRPr="00686B17">
        <w:rPr>
          <w:rFonts w:ascii="Century Gothic" w:eastAsia="Calibri" w:hAnsi="Century Gothic"/>
          <w:i/>
          <w:iCs/>
          <w:color w:val="44546A"/>
          <w:sz w:val="18"/>
          <w:szCs w:val="18"/>
          <w:lang w:eastAsia="en-US"/>
        </w:rPr>
        <w:fldChar w:fldCharType="end"/>
      </w:r>
      <w:r w:rsidRPr="00686B17">
        <w:rPr>
          <w:rFonts w:ascii="Century Gothic" w:eastAsia="Calibri" w:hAnsi="Century Gothic"/>
          <w:i/>
          <w:iCs/>
          <w:color w:val="44546A"/>
          <w:sz w:val="18"/>
          <w:szCs w:val="18"/>
          <w:lang w:val="en-US" w:eastAsia="en-US"/>
        </w:rPr>
        <w:t xml:space="preserve">: </w:t>
      </w:r>
      <w:r>
        <w:rPr>
          <w:rFonts w:ascii="Century Gothic" w:eastAsia="Calibri" w:hAnsi="Century Gothic"/>
          <w:i/>
          <w:iCs/>
          <w:color w:val="44546A"/>
          <w:sz w:val="18"/>
          <w:szCs w:val="18"/>
          <w:lang w:val="en-US" w:eastAsia="en-US"/>
        </w:rPr>
        <w:t>The key measure in the transport sector</w:t>
      </w:r>
    </w:p>
    <w:tbl>
      <w:tblPr>
        <w:tblW w:w="5000" w:type="pct"/>
        <w:tblBorders>
          <w:top w:val="single" w:sz="12" w:space="0" w:color="385623"/>
          <w:left w:val="single" w:sz="12" w:space="0" w:color="385623"/>
          <w:bottom w:val="single" w:sz="12" w:space="0" w:color="385623"/>
          <w:right w:val="single" w:sz="12" w:space="0" w:color="385623"/>
          <w:insideH w:val="single" w:sz="12" w:space="0" w:color="385623"/>
          <w:insideV w:val="single" w:sz="12" w:space="0" w:color="385623"/>
        </w:tblBorders>
        <w:tblCellMar>
          <w:left w:w="70" w:type="dxa"/>
          <w:right w:w="70" w:type="dxa"/>
        </w:tblCellMar>
        <w:tblLook w:val="04A0" w:firstRow="1" w:lastRow="0" w:firstColumn="1" w:lastColumn="0" w:noHBand="0" w:noVBand="1"/>
      </w:tblPr>
      <w:tblGrid>
        <w:gridCol w:w="2715"/>
        <w:gridCol w:w="2146"/>
        <w:gridCol w:w="888"/>
        <w:gridCol w:w="1926"/>
        <w:gridCol w:w="1410"/>
      </w:tblGrid>
      <w:tr w:rsidR="00816B74" w:rsidRPr="006836DF" w14:paraId="6C3D4076" w14:textId="77777777" w:rsidTr="00742086">
        <w:trPr>
          <w:trHeight w:val="315"/>
        </w:trPr>
        <w:tc>
          <w:tcPr>
            <w:tcW w:w="1951" w:type="pct"/>
            <w:shd w:val="clear" w:color="auto" w:fill="auto"/>
            <w:noWrap/>
            <w:vAlign w:val="center"/>
            <w:hideMark/>
          </w:tcPr>
          <w:p w14:paraId="6C550C4F"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 xml:space="preserve">Action/Measure </w:t>
            </w:r>
          </w:p>
        </w:tc>
        <w:tc>
          <w:tcPr>
            <w:tcW w:w="3049" w:type="pct"/>
            <w:gridSpan w:val="4"/>
            <w:shd w:val="clear" w:color="auto" w:fill="auto"/>
            <w:noWrap/>
            <w:vAlign w:val="center"/>
            <w:hideMark/>
          </w:tcPr>
          <w:p w14:paraId="15C61C6D" w14:textId="77777777" w:rsidR="00816B74" w:rsidRPr="00686B17" w:rsidRDefault="00816B74" w:rsidP="00742086">
            <w:pPr>
              <w:spacing w:after="0" w:line="240" w:lineRule="auto"/>
              <w:rPr>
                <w:rFonts w:eastAsia="Calibri" w:cs="Calibri"/>
                <w:b/>
                <w:bCs/>
                <w:color w:val="ED7D31"/>
                <w:lang w:val="en-GB" w:eastAsia="en-US"/>
              </w:rPr>
            </w:pPr>
            <w:r w:rsidRPr="00C27979">
              <w:rPr>
                <w:rFonts w:eastAsia="Calibri" w:cs="Calibri"/>
                <w:b/>
                <w:bCs/>
                <w:color w:val="ED7D31"/>
                <w:lang w:val="en-GB" w:eastAsia="en-US"/>
              </w:rPr>
              <w:t>Replacement of existing vehicles with new vehicles complaint to EURO standards</w:t>
            </w:r>
          </w:p>
        </w:tc>
      </w:tr>
      <w:tr w:rsidR="00816B74" w:rsidRPr="006836DF" w14:paraId="5CD47B88" w14:textId="77777777" w:rsidTr="00742086">
        <w:trPr>
          <w:trHeight w:val="315"/>
        </w:trPr>
        <w:tc>
          <w:tcPr>
            <w:tcW w:w="1951" w:type="pct"/>
            <w:shd w:val="clear" w:color="auto" w:fill="auto"/>
            <w:noWrap/>
            <w:vAlign w:val="center"/>
            <w:hideMark/>
          </w:tcPr>
          <w:p w14:paraId="04DED7EC"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Area</w:t>
            </w:r>
          </w:p>
        </w:tc>
        <w:tc>
          <w:tcPr>
            <w:tcW w:w="3049" w:type="pct"/>
            <w:gridSpan w:val="4"/>
            <w:shd w:val="clear" w:color="auto" w:fill="auto"/>
            <w:noWrap/>
            <w:vAlign w:val="center"/>
            <w:hideMark/>
          </w:tcPr>
          <w:p w14:paraId="740E1F52" w14:textId="77777777" w:rsidR="00816B74" w:rsidRPr="00E9581F" w:rsidRDefault="00816B74" w:rsidP="00742086">
            <w:pPr>
              <w:spacing w:after="0" w:line="240" w:lineRule="auto"/>
              <w:rPr>
                <w:rFonts w:eastAsia="Calibri" w:cs="Calibri"/>
                <w:i/>
                <w:color w:val="ED7D31"/>
                <w:lang w:val="en-GB" w:eastAsia="en-US"/>
              </w:rPr>
            </w:pPr>
            <w:r w:rsidRPr="00E9581F">
              <w:rPr>
                <w:rFonts w:eastAsia="Calibri" w:cs="Calibri"/>
                <w:i/>
                <w:color w:val="ED7D31"/>
                <w:lang w:val="en-GB" w:eastAsia="en-US"/>
              </w:rPr>
              <w:t>Cleaner/efficient vehicles</w:t>
            </w:r>
          </w:p>
        </w:tc>
      </w:tr>
      <w:tr w:rsidR="00816B74" w:rsidRPr="006836DF" w14:paraId="2DEC4119" w14:textId="77777777" w:rsidTr="00742086">
        <w:trPr>
          <w:trHeight w:val="315"/>
        </w:trPr>
        <w:tc>
          <w:tcPr>
            <w:tcW w:w="1951" w:type="pct"/>
            <w:shd w:val="clear" w:color="auto" w:fill="auto"/>
            <w:noWrap/>
            <w:vAlign w:val="center"/>
          </w:tcPr>
          <w:p w14:paraId="5E93FC3A"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Description</w:t>
            </w:r>
          </w:p>
        </w:tc>
        <w:tc>
          <w:tcPr>
            <w:tcW w:w="3049" w:type="pct"/>
            <w:gridSpan w:val="4"/>
            <w:shd w:val="clear" w:color="auto" w:fill="auto"/>
            <w:noWrap/>
            <w:vAlign w:val="center"/>
          </w:tcPr>
          <w:p w14:paraId="6E402585" w14:textId="77777777" w:rsidR="00816B74" w:rsidRPr="00E9581F" w:rsidRDefault="00816B74" w:rsidP="00742086">
            <w:pPr>
              <w:spacing w:after="0" w:line="240" w:lineRule="auto"/>
              <w:rPr>
                <w:rFonts w:eastAsia="Calibri" w:cs="Calibri"/>
                <w:i/>
                <w:color w:val="ED7D31"/>
                <w:lang w:val="en-GB" w:eastAsia="en-US"/>
              </w:rPr>
            </w:pPr>
            <w:r w:rsidRPr="00E9581F">
              <w:rPr>
                <w:rFonts w:eastAsia="Calibri" w:cs="Calibri"/>
                <w:i/>
                <w:color w:val="ED7D31"/>
                <w:lang w:val="en-GB" w:eastAsia="en-US"/>
              </w:rPr>
              <w:t>Grants and subsidies</w:t>
            </w:r>
          </w:p>
        </w:tc>
      </w:tr>
      <w:tr w:rsidR="00816B74" w:rsidRPr="006836DF" w14:paraId="5D2ECA7C" w14:textId="77777777" w:rsidTr="00742086">
        <w:trPr>
          <w:trHeight w:val="315"/>
        </w:trPr>
        <w:tc>
          <w:tcPr>
            <w:tcW w:w="1951" w:type="pct"/>
            <w:shd w:val="clear" w:color="auto" w:fill="auto"/>
            <w:noWrap/>
            <w:vAlign w:val="center"/>
            <w:hideMark/>
          </w:tcPr>
          <w:p w14:paraId="5B8A3791"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Priority</w:t>
            </w:r>
          </w:p>
        </w:tc>
        <w:tc>
          <w:tcPr>
            <w:tcW w:w="1451" w:type="pct"/>
            <w:gridSpan w:val="2"/>
            <w:shd w:val="clear" w:color="auto" w:fill="auto"/>
            <w:noWrap/>
            <w:vAlign w:val="center"/>
            <w:hideMark/>
          </w:tcPr>
          <w:p w14:paraId="6082AD8F" w14:textId="77777777" w:rsidR="00816B74" w:rsidRPr="00686B17" w:rsidRDefault="00816B74" w:rsidP="00742086">
            <w:pPr>
              <w:spacing w:after="0" w:line="240" w:lineRule="auto"/>
              <w:rPr>
                <w:rFonts w:eastAsia="Calibri" w:cs="Calibri"/>
                <w:color w:val="ED7D31"/>
                <w:lang w:val="en-GB" w:eastAsia="en-US"/>
              </w:rPr>
            </w:pPr>
            <w:r w:rsidRPr="00686B17">
              <w:rPr>
                <w:rFonts w:eastAsia="Calibri" w:cs="Calibri"/>
                <w:color w:val="ED7D31"/>
                <w:lang w:val="en-GB" w:eastAsia="en-US"/>
              </w:rPr>
              <w:t>High</w:t>
            </w:r>
          </w:p>
        </w:tc>
        <w:tc>
          <w:tcPr>
            <w:tcW w:w="924" w:type="pct"/>
            <w:shd w:val="clear" w:color="auto" w:fill="auto"/>
            <w:noWrap/>
            <w:vAlign w:val="center"/>
            <w:hideMark/>
          </w:tcPr>
          <w:p w14:paraId="104938C5"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Start Year</w:t>
            </w:r>
          </w:p>
        </w:tc>
        <w:tc>
          <w:tcPr>
            <w:tcW w:w="674" w:type="pct"/>
            <w:shd w:val="clear" w:color="auto" w:fill="auto"/>
            <w:noWrap/>
            <w:vAlign w:val="center"/>
            <w:hideMark/>
          </w:tcPr>
          <w:p w14:paraId="64138DAB" w14:textId="77777777" w:rsidR="00816B74" w:rsidRPr="00686B17" w:rsidRDefault="00816B74" w:rsidP="00742086">
            <w:pPr>
              <w:spacing w:after="0" w:line="240" w:lineRule="auto"/>
              <w:rPr>
                <w:rFonts w:eastAsia="Calibri" w:cs="Calibri"/>
                <w:i/>
                <w:color w:val="ED7D31"/>
                <w:lang w:val="en-GB" w:eastAsia="en-US"/>
              </w:rPr>
            </w:pPr>
            <w:r>
              <w:rPr>
                <w:rFonts w:eastAsia="Calibri" w:cs="Calibri"/>
                <w:i/>
                <w:color w:val="ED7D31"/>
                <w:lang w:val="en-GB" w:eastAsia="en-US"/>
              </w:rPr>
              <w:t>2019</w:t>
            </w:r>
          </w:p>
        </w:tc>
      </w:tr>
      <w:tr w:rsidR="00816B74" w:rsidRPr="006836DF" w14:paraId="53A65B5E" w14:textId="77777777" w:rsidTr="00742086">
        <w:trPr>
          <w:trHeight w:val="315"/>
        </w:trPr>
        <w:tc>
          <w:tcPr>
            <w:tcW w:w="1951" w:type="pct"/>
            <w:shd w:val="clear" w:color="auto" w:fill="auto"/>
            <w:noWrap/>
            <w:vAlign w:val="center"/>
            <w:hideMark/>
          </w:tcPr>
          <w:p w14:paraId="671AF06E"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Status of implementation</w:t>
            </w:r>
          </w:p>
        </w:tc>
        <w:tc>
          <w:tcPr>
            <w:tcW w:w="1451" w:type="pct"/>
            <w:gridSpan w:val="2"/>
            <w:shd w:val="clear" w:color="auto" w:fill="auto"/>
            <w:noWrap/>
            <w:vAlign w:val="center"/>
            <w:hideMark/>
          </w:tcPr>
          <w:p w14:paraId="0F868FB2" w14:textId="77777777" w:rsidR="00816B74" w:rsidRPr="00686B17" w:rsidRDefault="00816B74" w:rsidP="00742086">
            <w:pPr>
              <w:spacing w:after="0" w:line="240" w:lineRule="auto"/>
              <w:rPr>
                <w:rFonts w:eastAsia="Calibri" w:cs="Calibri"/>
                <w:color w:val="000000"/>
                <w:lang w:val="en-GB" w:eastAsia="en-US"/>
              </w:rPr>
            </w:pPr>
            <w:r w:rsidRPr="00686B17">
              <w:rPr>
                <w:rFonts w:eastAsia="Calibri" w:cs="Calibri"/>
                <w:i/>
                <w:color w:val="ED7D31"/>
                <w:lang w:val="en-GB" w:eastAsia="en-US"/>
              </w:rPr>
              <w:t>New</w:t>
            </w:r>
          </w:p>
        </w:tc>
        <w:tc>
          <w:tcPr>
            <w:tcW w:w="924" w:type="pct"/>
            <w:shd w:val="clear" w:color="auto" w:fill="auto"/>
            <w:noWrap/>
            <w:vAlign w:val="center"/>
            <w:hideMark/>
          </w:tcPr>
          <w:p w14:paraId="38434A13"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Ending Year</w:t>
            </w:r>
          </w:p>
        </w:tc>
        <w:tc>
          <w:tcPr>
            <w:tcW w:w="674" w:type="pct"/>
            <w:shd w:val="clear" w:color="auto" w:fill="auto"/>
            <w:noWrap/>
            <w:vAlign w:val="center"/>
            <w:hideMark/>
          </w:tcPr>
          <w:p w14:paraId="087D8D67" w14:textId="77777777" w:rsidR="00816B74" w:rsidRPr="00686B17" w:rsidRDefault="00816B74" w:rsidP="00742086">
            <w:pPr>
              <w:spacing w:after="0" w:line="240" w:lineRule="auto"/>
              <w:rPr>
                <w:rFonts w:eastAsia="Calibri" w:cs="Calibri"/>
                <w:color w:val="000000"/>
                <w:lang w:val="en-GB" w:eastAsia="en-US"/>
              </w:rPr>
            </w:pPr>
            <w:r>
              <w:rPr>
                <w:rFonts w:eastAsia="Calibri" w:cs="Calibri"/>
                <w:i/>
                <w:color w:val="ED7D31"/>
                <w:lang w:val="en-GB" w:eastAsia="en-US"/>
              </w:rPr>
              <w:t>2030</w:t>
            </w:r>
          </w:p>
        </w:tc>
      </w:tr>
      <w:tr w:rsidR="00816B74" w:rsidRPr="006836DF" w14:paraId="52E0BDA7" w14:textId="77777777" w:rsidTr="00742086">
        <w:trPr>
          <w:trHeight w:val="315"/>
        </w:trPr>
        <w:tc>
          <w:tcPr>
            <w:tcW w:w="1951" w:type="pct"/>
            <w:shd w:val="clear" w:color="auto" w:fill="auto"/>
            <w:noWrap/>
            <w:vAlign w:val="center"/>
            <w:hideMark/>
          </w:tcPr>
          <w:p w14:paraId="300C12C5"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Main responsible for the measure</w:t>
            </w:r>
          </w:p>
        </w:tc>
        <w:tc>
          <w:tcPr>
            <w:tcW w:w="3049" w:type="pct"/>
            <w:gridSpan w:val="4"/>
            <w:shd w:val="clear" w:color="auto" w:fill="auto"/>
            <w:noWrap/>
            <w:vAlign w:val="center"/>
            <w:hideMark/>
          </w:tcPr>
          <w:p w14:paraId="5A38DF70" w14:textId="4DFCDE48" w:rsidR="00816B74" w:rsidRPr="00C27979" w:rsidRDefault="00816B74" w:rsidP="00816B74">
            <w:pPr>
              <w:spacing w:after="0" w:line="240" w:lineRule="auto"/>
              <w:rPr>
                <w:rFonts w:ascii="Arial" w:hAnsi="Arial" w:cs="Arial"/>
                <w:sz w:val="18"/>
                <w:szCs w:val="18"/>
              </w:rPr>
            </w:pPr>
            <w:r w:rsidRPr="00E9581F">
              <w:rPr>
                <w:rFonts w:eastAsia="Calibri" w:cs="Calibri"/>
                <w:i/>
                <w:color w:val="ED7D31"/>
                <w:lang w:val="en-GB" w:eastAsia="en-US"/>
              </w:rPr>
              <w:t xml:space="preserve">The City of </w:t>
            </w:r>
            <w:r>
              <w:rPr>
                <w:rFonts w:eastAsia="Calibri" w:cs="Calibri"/>
                <w:i/>
                <w:color w:val="ED7D31"/>
                <w:lang w:val="en-GB" w:eastAsia="en-US"/>
              </w:rPr>
              <w:t>Vodnjan - DIgnano</w:t>
            </w:r>
          </w:p>
        </w:tc>
      </w:tr>
      <w:tr w:rsidR="00816B74" w:rsidRPr="006836DF" w14:paraId="5E23D087" w14:textId="77777777" w:rsidTr="00742086">
        <w:trPr>
          <w:trHeight w:val="315"/>
        </w:trPr>
        <w:tc>
          <w:tcPr>
            <w:tcW w:w="1951" w:type="pct"/>
            <w:shd w:val="clear" w:color="auto" w:fill="auto"/>
            <w:noWrap/>
            <w:vAlign w:val="center"/>
            <w:hideMark/>
          </w:tcPr>
          <w:p w14:paraId="12D89413"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Stakeholders Involved</w:t>
            </w:r>
          </w:p>
        </w:tc>
        <w:tc>
          <w:tcPr>
            <w:tcW w:w="3049" w:type="pct"/>
            <w:gridSpan w:val="4"/>
            <w:shd w:val="clear" w:color="auto" w:fill="auto"/>
            <w:noWrap/>
            <w:vAlign w:val="center"/>
          </w:tcPr>
          <w:p w14:paraId="19B55FAB" w14:textId="77777777" w:rsidR="00816B74" w:rsidRPr="00686B17" w:rsidRDefault="00816B74" w:rsidP="00742086">
            <w:pPr>
              <w:spacing w:after="0" w:line="240" w:lineRule="auto"/>
              <w:rPr>
                <w:rFonts w:eastAsia="Calibri" w:cs="Calibri"/>
                <w:i/>
                <w:color w:val="ED7D31"/>
                <w:lang w:val="en-GB" w:eastAsia="en-US"/>
              </w:rPr>
            </w:pPr>
            <w:r>
              <w:rPr>
                <w:rFonts w:eastAsia="Calibri" w:cs="Calibri"/>
                <w:i/>
                <w:color w:val="ED7D31"/>
                <w:lang w:val="en-GB" w:eastAsia="en-US"/>
              </w:rPr>
              <w:t>Vehicle owners</w:t>
            </w:r>
          </w:p>
        </w:tc>
      </w:tr>
      <w:tr w:rsidR="00816B74" w:rsidRPr="006836DF" w14:paraId="2D7D942A" w14:textId="77777777" w:rsidTr="00742086">
        <w:trPr>
          <w:trHeight w:val="315"/>
        </w:trPr>
        <w:tc>
          <w:tcPr>
            <w:tcW w:w="1951" w:type="pct"/>
            <w:shd w:val="clear" w:color="auto" w:fill="auto"/>
            <w:noWrap/>
            <w:vAlign w:val="center"/>
            <w:hideMark/>
          </w:tcPr>
          <w:p w14:paraId="1F03A7BB"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budget</w:t>
            </w:r>
          </w:p>
        </w:tc>
        <w:tc>
          <w:tcPr>
            <w:tcW w:w="3049" w:type="pct"/>
            <w:gridSpan w:val="4"/>
            <w:shd w:val="clear" w:color="auto" w:fill="auto"/>
            <w:noWrap/>
            <w:vAlign w:val="center"/>
            <w:hideMark/>
          </w:tcPr>
          <w:p w14:paraId="6A467EDB" w14:textId="77777777" w:rsidR="00816B74" w:rsidRPr="00686B17" w:rsidRDefault="00816B74" w:rsidP="00742086">
            <w:pPr>
              <w:spacing w:after="0" w:line="240" w:lineRule="auto"/>
              <w:rPr>
                <w:rFonts w:eastAsia="Calibri" w:cs="Calibri"/>
                <w:color w:val="000000"/>
                <w:lang w:val="en-GB" w:eastAsia="en-US"/>
              </w:rPr>
            </w:pPr>
            <w:r>
              <w:rPr>
                <w:rFonts w:eastAsia="Calibri" w:cs="Calibri"/>
                <w:color w:val="ED7D31"/>
                <w:lang w:val="en-GB" w:eastAsia="en-US"/>
              </w:rPr>
              <w:t>0</w:t>
            </w:r>
            <w:r w:rsidRPr="00686B17">
              <w:rPr>
                <w:rFonts w:eastAsia="Calibri" w:cs="Calibri"/>
                <w:color w:val="ED7D31"/>
                <w:lang w:val="en-GB" w:eastAsia="en-US"/>
              </w:rPr>
              <w:t xml:space="preserve"> €</w:t>
            </w:r>
          </w:p>
        </w:tc>
      </w:tr>
      <w:tr w:rsidR="00816B74" w:rsidRPr="006836DF" w14:paraId="739B80AC" w14:textId="77777777" w:rsidTr="00742086">
        <w:trPr>
          <w:trHeight w:val="315"/>
        </w:trPr>
        <w:tc>
          <w:tcPr>
            <w:tcW w:w="1951" w:type="pct"/>
            <w:shd w:val="clear" w:color="auto" w:fill="auto"/>
            <w:noWrap/>
            <w:vAlign w:val="center"/>
            <w:hideMark/>
          </w:tcPr>
          <w:p w14:paraId="45A9EBB8"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Funding source</w:t>
            </w:r>
          </w:p>
        </w:tc>
        <w:tc>
          <w:tcPr>
            <w:tcW w:w="3049" w:type="pct"/>
            <w:gridSpan w:val="4"/>
            <w:shd w:val="clear" w:color="auto" w:fill="auto"/>
            <w:noWrap/>
            <w:vAlign w:val="center"/>
            <w:hideMark/>
          </w:tcPr>
          <w:p w14:paraId="22C4D13B" w14:textId="41176EB0" w:rsidR="00816B74" w:rsidRPr="00686B17" w:rsidRDefault="00816B74" w:rsidP="00742086">
            <w:pPr>
              <w:spacing w:after="0" w:line="240" w:lineRule="auto"/>
              <w:rPr>
                <w:rFonts w:eastAsia="Calibri" w:cs="Calibri"/>
                <w:color w:val="000000"/>
                <w:lang w:val="en-GB" w:eastAsia="en-US"/>
              </w:rPr>
            </w:pPr>
            <w:r>
              <w:rPr>
                <w:rFonts w:eastAsia="Calibri" w:cs="Calibri"/>
                <w:i/>
                <w:color w:val="ED7D31"/>
                <w:lang w:val="en-GB" w:eastAsia="en-US"/>
              </w:rPr>
              <w:t xml:space="preserve">Vehicle </w:t>
            </w:r>
            <w:r w:rsidR="000E44A1">
              <w:rPr>
                <w:rFonts w:eastAsia="Calibri" w:cs="Calibri"/>
                <w:i/>
                <w:color w:val="ED7D31"/>
                <w:lang w:val="en-GB" w:eastAsia="en-US"/>
              </w:rPr>
              <w:t>owners’</w:t>
            </w:r>
            <w:r>
              <w:rPr>
                <w:rFonts w:eastAsia="Calibri" w:cs="Calibri"/>
                <w:i/>
                <w:color w:val="ED7D31"/>
                <w:lang w:val="en-GB" w:eastAsia="en-US"/>
              </w:rPr>
              <w:t xml:space="preserve"> funds</w:t>
            </w:r>
          </w:p>
        </w:tc>
      </w:tr>
      <w:tr w:rsidR="00816B74" w:rsidRPr="006836DF" w14:paraId="4C721D19" w14:textId="77777777" w:rsidTr="00742086">
        <w:trPr>
          <w:trHeight w:val="330"/>
        </w:trPr>
        <w:tc>
          <w:tcPr>
            <w:tcW w:w="5000" w:type="pct"/>
            <w:gridSpan w:val="5"/>
            <w:shd w:val="clear" w:color="auto" w:fill="E7E6E6"/>
            <w:noWrap/>
            <w:vAlign w:val="center"/>
            <w:hideMark/>
          </w:tcPr>
          <w:p w14:paraId="2FA44830" w14:textId="77777777" w:rsidR="00816B74" w:rsidRPr="006836DF" w:rsidRDefault="00816B74" w:rsidP="00742086">
            <w:pPr>
              <w:spacing w:after="0" w:line="240" w:lineRule="auto"/>
              <w:rPr>
                <w:rFonts w:eastAsia="Calibri" w:cs="Calibri"/>
                <w:b/>
                <w:bCs/>
                <w:color w:val="7F6000"/>
                <w:sz w:val="24"/>
                <w:lang w:val="en-GB" w:eastAsia="en-US"/>
              </w:rPr>
            </w:pPr>
            <w:r w:rsidRPr="006836DF">
              <w:rPr>
                <w:rFonts w:eastAsia="Calibri" w:cs="Calibri"/>
                <w:b/>
                <w:bCs/>
                <w:color w:val="7F6000"/>
                <w:sz w:val="24"/>
                <w:lang w:val="en-GB" w:eastAsia="en-US"/>
              </w:rPr>
              <w:t>Expected results</w:t>
            </w:r>
          </w:p>
        </w:tc>
      </w:tr>
      <w:tr w:rsidR="00816B74" w:rsidRPr="006836DF" w14:paraId="53BFF7F8" w14:textId="77777777" w:rsidTr="00742086">
        <w:trPr>
          <w:trHeight w:val="315"/>
        </w:trPr>
        <w:tc>
          <w:tcPr>
            <w:tcW w:w="2982" w:type="pct"/>
            <w:gridSpan w:val="2"/>
            <w:shd w:val="clear" w:color="auto" w:fill="auto"/>
            <w:noWrap/>
            <w:vAlign w:val="center"/>
            <w:hideMark/>
          </w:tcPr>
          <w:p w14:paraId="50D322BF"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CO</w:t>
            </w:r>
            <w:r w:rsidRPr="0040357A">
              <w:rPr>
                <w:rFonts w:eastAsia="Calibri" w:cs="Calibri"/>
                <w:b/>
                <w:bCs/>
                <w:color w:val="000000"/>
                <w:vertAlign w:val="subscript"/>
                <w:lang w:val="en-GB" w:eastAsia="en-US"/>
              </w:rPr>
              <w:t>2</w:t>
            </w:r>
            <w:r w:rsidRPr="00686B17">
              <w:rPr>
                <w:rFonts w:eastAsia="Calibri" w:cs="Calibri"/>
                <w:b/>
                <w:bCs/>
                <w:color w:val="000000"/>
                <w:lang w:val="en-GB" w:eastAsia="en-US"/>
              </w:rPr>
              <w:t xml:space="preserve"> reduction CO</w:t>
            </w:r>
            <w:r w:rsidRPr="0040357A">
              <w:rPr>
                <w:rFonts w:eastAsia="Calibri" w:cs="Calibri"/>
                <w:b/>
                <w:bCs/>
                <w:color w:val="000000"/>
                <w:vertAlign w:val="subscript"/>
                <w:lang w:val="en-GB" w:eastAsia="en-US"/>
              </w:rPr>
              <w:t>2</w:t>
            </w:r>
            <w:r w:rsidRPr="00686B17">
              <w:rPr>
                <w:rFonts w:eastAsia="Calibri" w:cs="Calibri"/>
                <w:b/>
                <w:bCs/>
                <w:color w:val="000000"/>
                <w:lang w:val="en-GB" w:eastAsia="en-US"/>
              </w:rPr>
              <w:t xml:space="preserve">/a </w:t>
            </w:r>
          </w:p>
        </w:tc>
        <w:tc>
          <w:tcPr>
            <w:tcW w:w="2018" w:type="pct"/>
            <w:gridSpan w:val="3"/>
            <w:shd w:val="clear" w:color="auto" w:fill="auto"/>
            <w:noWrap/>
            <w:vAlign w:val="center"/>
            <w:hideMark/>
          </w:tcPr>
          <w:p w14:paraId="4EE8CAFC" w14:textId="5A78DEA8" w:rsidR="00816B74" w:rsidRPr="00E9581F" w:rsidRDefault="00816B74" w:rsidP="00742086">
            <w:pPr>
              <w:spacing w:after="0" w:line="240" w:lineRule="auto"/>
              <w:rPr>
                <w:rFonts w:eastAsia="Calibri" w:cs="Calibri"/>
                <w:color w:val="ED7D31"/>
                <w:lang w:val="en-GB" w:eastAsia="en-US"/>
              </w:rPr>
            </w:pPr>
            <w:r>
              <w:rPr>
                <w:rFonts w:eastAsia="Calibri" w:cs="Calibri"/>
                <w:color w:val="ED7D31"/>
                <w:lang w:val="en-GB" w:eastAsia="en-US"/>
              </w:rPr>
              <w:t>4,874.14 t</w:t>
            </w:r>
            <w:r w:rsidRPr="00E9581F">
              <w:rPr>
                <w:rFonts w:eastAsia="Calibri" w:cs="Calibri"/>
                <w:color w:val="ED7D31"/>
                <w:lang w:val="en-GB" w:eastAsia="en-US"/>
              </w:rPr>
              <w:t xml:space="preserve"> CO</w:t>
            </w:r>
            <w:r w:rsidRPr="00E9581F">
              <w:rPr>
                <w:rFonts w:eastAsia="Calibri" w:cs="Calibri"/>
                <w:color w:val="ED7D31"/>
                <w:vertAlign w:val="subscript"/>
                <w:lang w:val="en-GB" w:eastAsia="en-US"/>
              </w:rPr>
              <w:t>2</w:t>
            </w:r>
          </w:p>
        </w:tc>
      </w:tr>
      <w:tr w:rsidR="00816B74" w:rsidRPr="006836DF" w14:paraId="54888C75" w14:textId="77777777" w:rsidTr="00742086">
        <w:trPr>
          <w:trHeight w:val="315"/>
        </w:trPr>
        <w:tc>
          <w:tcPr>
            <w:tcW w:w="2982" w:type="pct"/>
            <w:gridSpan w:val="2"/>
            <w:shd w:val="clear" w:color="auto" w:fill="auto"/>
            <w:noWrap/>
            <w:vAlign w:val="center"/>
            <w:hideMark/>
          </w:tcPr>
          <w:p w14:paraId="0698B772"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Energy savings MWh/a</w:t>
            </w:r>
          </w:p>
        </w:tc>
        <w:tc>
          <w:tcPr>
            <w:tcW w:w="2018" w:type="pct"/>
            <w:gridSpan w:val="3"/>
            <w:shd w:val="clear" w:color="auto" w:fill="auto"/>
            <w:noWrap/>
            <w:vAlign w:val="center"/>
            <w:hideMark/>
          </w:tcPr>
          <w:p w14:paraId="2BC2356E" w14:textId="2F124627" w:rsidR="00816B74" w:rsidRPr="00E9581F" w:rsidRDefault="00816B74" w:rsidP="00742086">
            <w:pPr>
              <w:spacing w:after="0" w:line="240" w:lineRule="auto"/>
              <w:rPr>
                <w:rFonts w:eastAsia="Calibri" w:cs="Calibri"/>
                <w:color w:val="ED7D31"/>
                <w:lang w:val="en-GB" w:eastAsia="en-US"/>
              </w:rPr>
            </w:pPr>
            <w:r>
              <w:rPr>
                <w:rFonts w:eastAsia="Calibri" w:cs="Calibri"/>
                <w:color w:val="ED7D31"/>
                <w:lang w:val="en-GB" w:eastAsia="en-US"/>
              </w:rPr>
              <w:t>19,496.55 MWh</w:t>
            </w:r>
          </w:p>
        </w:tc>
      </w:tr>
      <w:tr w:rsidR="00816B74" w:rsidRPr="006836DF" w14:paraId="527C199F" w14:textId="77777777" w:rsidTr="00742086">
        <w:trPr>
          <w:trHeight w:val="315"/>
        </w:trPr>
        <w:tc>
          <w:tcPr>
            <w:tcW w:w="2982" w:type="pct"/>
            <w:gridSpan w:val="2"/>
            <w:shd w:val="clear" w:color="auto" w:fill="auto"/>
            <w:noWrap/>
            <w:vAlign w:val="center"/>
            <w:hideMark/>
          </w:tcPr>
          <w:p w14:paraId="158159FF"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Renewable energy production MWh/a</w:t>
            </w:r>
          </w:p>
        </w:tc>
        <w:tc>
          <w:tcPr>
            <w:tcW w:w="2018" w:type="pct"/>
            <w:gridSpan w:val="3"/>
            <w:shd w:val="clear" w:color="auto" w:fill="auto"/>
            <w:noWrap/>
            <w:vAlign w:val="center"/>
            <w:hideMark/>
          </w:tcPr>
          <w:p w14:paraId="1E6637EC" w14:textId="77777777" w:rsidR="00816B74" w:rsidRPr="00686B17" w:rsidRDefault="00816B74" w:rsidP="00742086">
            <w:pPr>
              <w:spacing w:after="0" w:line="240" w:lineRule="auto"/>
              <w:rPr>
                <w:rFonts w:eastAsia="Calibri" w:cs="Calibri"/>
                <w:color w:val="000000"/>
                <w:lang w:val="en-GB" w:eastAsia="en-US"/>
              </w:rPr>
            </w:pPr>
            <w:r>
              <w:rPr>
                <w:rFonts w:eastAsia="Calibri" w:cs="Calibri"/>
                <w:color w:val="ED7D31"/>
                <w:lang w:val="en-GB" w:eastAsia="en-US"/>
              </w:rPr>
              <w:t>0</w:t>
            </w:r>
          </w:p>
        </w:tc>
      </w:tr>
    </w:tbl>
    <w:p w14:paraId="7DEFCE23" w14:textId="77777777" w:rsidR="00816B74" w:rsidRDefault="00816B74" w:rsidP="00816B74">
      <w:pPr>
        <w:spacing w:after="160" w:line="259" w:lineRule="auto"/>
        <w:jc w:val="both"/>
        <w:rPr>
          <w:rFonts w:ascii="Century Gothic" w:eastAsia="Calibri" w:hAnsi="Century Gothic"/>
          <w:sz w:val="20"/>
          <w:lang w:val="en-US" w:eastAsia="en-US"/>
        </w:rPr>
      </w:pPr>
    </w:p>
    <w:p w14:paraId="73C40BB3" w14:textId="77777777" w:rsidR="00816B74" w:rsidRPr="00686B17" w:rsidRDefault="00816B74" w:rsidP="00816B74">
      <w:pPr>
        <w:keepNext/>
        <w:spacing w:line="240" w:lineRule="auto"/>
        <w:jc w:val="both"/>
        <w:rPr>
          <w:rFonts w:ascii="Century Gothic" w:eastAsia="Calibri" w:hAnsi="Century Gothic"/>
          <w:i/>
          <w:iCs/>
          <w:color w:val="44546A"/>
          <w:sz w:val="18"/>
          <w:szCs w:val="18"/>
          <w:lang w:val="en-US" w:eastAsia="en-US"/>
        </w:rPr>
      </w:pPr>
      <w:r w:rsidRPr="00686B17">
        <w:rPr>
          <w:rFonts w:ascii="Century Gothic" w:eastAsia="Calibri" w:hAnsi="Century Gothic"/>
          <w:i/>
          <w:iCs/>
          <w:color w:val="44546A"/>
          <w:sz w:val="18"/>
          <w:szCs w:val="18"/>
          <w:lang w:eastAsia="en-US"/>
        </w:rPr>
        <w:t xml:space="preserve">Table </w:t>
      </w:r>
      <w:r w:rsidRPr="00686B17">
        <w:rPr>
          <w:rFonts w:ascii="Century Gothic" w:eastAsia="Calibri" w:hAnsi="Century Gothic"/>
          <w:i/>
          <w:iCs/>
          <w:color w:val="44546A"/>
          <w:sz w:val="18"/>
          <w:szCs w:val="18"/>
          <w:lang w:eastAsia="en-US"/>
        </w:rPr>
        <w:fldChar w:fldCharType="begin"/>
      </w:r>
      <w:r w:rsidRPr="00686B17">
        <w:rPr>
          <w:rFonts w:ascii="Century Gothic" w:eastAsia="Calibri" w:hAnsi="Century Gothic"/>
          <w:i/>
          <w:iCs/>
          <w:color w:val="44546A"/>
          <w:sz w:val="18"/>
          <w:szCs w:val="18"/>
          <w:lang w:eastAsia="en-US"/>
        </w:rPr>
        <w:instrText xml:space="preserve"> SEQ Table \* ARABIC </w:instrText>
      </w:r>
      <w:r w:rsidRPr="00686B17">
        <w:rPr>
          <w:rFonts w:ascii="Century Gothic" w:eastAsia="Calibri" w:hAnsi="Century Gothic"/>
          <w:i/>
          <w:iCs/>
          <w:color w:val="44546A"/>
          <w:sz w:val="18"/>
          <w:szCs w:val="18"/>
          <w:lang w:eastAsia="en-US"/>
        </w:rPr>
        <w:fldChar w:fldCharType="separate"/>
      </w:r>
      <w:r>
        <w:rPr>
          <w:rFonts w:ascii="Century Gothic" w:eastAsia="Calibri" w:hAnsi="Century Gothic"/>
          <w:i/>
          <w:iCs/>
          <w:noProof/>
          <w:color w:val="44546A"/>
          <w:sz w:val="18"/>
          <w:szCs w:val="18"/>
          <w:lang w:eastAsia="en-US"/>
        </w:rPr>
        <w:t>6</w:t>
      </w:r>
      <w:r w:rsidRPr="00686B17">
        <w:rPr>
          <w:rFonts w:ascii="Century Gothic" w:eastAsia="Calibri" w:hAnsi="Century Gothic"/>
          <w:i/>
          <w:iCs/>
          <w:color w:val="44546A"/>
          <w:sz w:val="18"/>
          <w:szCs w:val="18"/>
          <w:lang w:eastAsia="en-US"/>
        </w:rPr>
        <w:fldChar w:fldCharType="end"/>
      </w:r>
      <w:r w:rsidRPr="00686B17">
        <w:rPr>
          <w:rFonts w:ascii="Century Gothic" w:eastAsia="Calibri" w:hAnsi="Century Gothic"/>
          <w:i/>
          <w:iCs/>
          <w:color w:val="44546A"/>
          <w:sz w:val="18"/>
          <w:szCs w:val="18"/>
          <w:lang w:val="en-US" w:eastAsia="en-US"/>
        </w:rPr>
        <w:t xml:space="preserve">: </w:t>
      </w:r>
      <w:r>
        <w:rPr>
          <w:rFonts w:ascii="Century Gothic" w:eastAsia="Calibri" w:hAnsi="Century Gothic"/>
          <w:i/>
          <w:iCs/>
          <w:color w:val="44546A"/>
          <w:sz w:val="18"/>
          <w:szCs w:val="18"/>
          <w:lang w:val="en-US" w:eastAsia="en-US"/>
        </w:rPr>
        <w:t>The key measure in the public lighting sector</w:t>
      </w:r>
    </w:p>
    <w:tbl>
      <w:tblPr>
        <w:tblW w:w="5000" w:type="pct"/>
        <w:tblBorders>
          <w:top w:val="single" w:sz="12" w:space="0" w:color="385623"/>
          <w:left w:val="single" w:sz="12" w:space="0" w:color="385623"/>
          <w:bottom w:val="single" w:sz="12" w:space="0" w:color="385623"/>
          <w:right w:val="single" w:sz="12" w:space="0" w:color="385623"/>
          <w:insideH w:val="single" w:sz="12" w:space="0" w:color="385623"/>
          <w:insideV w:val="single" w:sz="12" w:space="0" w:color="385623"/>
        </w:tblBorders>
        <w:tblCellMar>
          <w:left w:w="70" w:type="dxa"/>
          <w:right w:w="70" w:type="dxa"/>
        </w:tblCellMar>
        <w:tblLook w:val="04A0" w:firstRow="1" w:lastRow="0" w:firstColumn="1" w:lastColumn="0" w:noHBand="0" w:noVBand="1"/>
      </w:tblPr>
      <w:tblGrid>
        <w:gridCol w:w="2138"/>
        <w:gridCol w:w="2332"/>
        <w:gridCol w:w="979"/>
        <w:gridCol w:w="2095"/>
        <w:gridCol w:w="1541"/>
      </w:tblGrid>
      <w:tr w:rsidR="00816B74" w:rsidRPr="006836DF" w14:paraId="7562931E" w14:textId="77777777" w:rsidTr="00742086">
        <w:trPr>
          <w:trHeight w:val="315"/>
        </w:trPr>
        <w:tc>
          <w:tcPr>
            <w:tcW w:w="1951" w:type="pct"/>
            <w:shd w:val="clear" w:color="auto" w:fill="auto"/>
            <w:noWrap/>
            <w:vAlign w:val="center"/>
            <w:hideMark/>
          </w:tcPr>
          <w:p w14:paraId="4301BCF3"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 xml:space="preserve">Action/Measure </w:t>
            </w:r>
          </w:p>
        </w:tc>
        <w:tc>
          <w:tcPr>
            <w:tcW w:w="3049" w:type="pct"/>
            <w:gridSpan w:val="4"/>
            <w:shd w:val="clear" w:color="auto" w:fill="auto"/>
            <w:noWrap/>
            <w:vAlign w:val="center"/>
            <w:hideMark/>
          </w:tcPr>
          <w:p w14:paraId="34BA97E9" w14:textId="77777777" w:rsidR="00816B74" w:rsidRPr="00686B17" w:rsidRDefault="00816B74" w:rsidP="00742086">
            <w:pPr>
              <w:spacing w:after="0" w:line="240" w:lineRule="auto"/>
              <w:rPr>
                <w:rFonts w:eastAsia="Calibri" w:cs="Calibri"/>
                <w:b/>
                <w:bCs/>
                <w:color w:val="ED7D31"/>
                <w:lang w:val="en-GB" w:eastAsia="en-US"/>
              </w:rPr>
            </w:pPr>
            <w:r w:rsidRPr="00C27979">
              <w:rPr>
                <w:rFonts w:eastAsia="Calibri" w:cs="Calibri"/>
                <w:b/>
                <w:bCs/>
                <w:color w:val="ED7D31"/>
                <w:lang w:val="en-GB" w:eastAsia="en-US"/>
              </w:rPr>
              <w:t>Modernization and expansion of public lighting system</w:t>
            </w:r>
          </w:p>
        </w:tc>
      </w:tr>
      <w:tr w:rsidR="00816B74" w:rsidRPr="006836DF" w14:paraId="50BA676F" w14:textId="77777777" w:rsidTr="00742086">
        <w:trPr>
          <w:trHeight w:val="315"/>
        </w:trPr>
        <w:tc>
          <w:tcPr>
            <w:tcW w:w="1951" w:type="pct"/>
            <w:shd w:val="clear" w:color="auto" w:fill="auto"/>
            <w:noWrap/>
            <w:vAlign w:val="center"/>
            <w:hideMark/>
          </w:tcPr>
          <w:p w14:paraId="61B2DF0E"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Area</w:t>
            </w:r>
          </w:p>
        </w:tc>
        <w:tc>
          <w:tcPr>
            <w:tcW w:w="3049" w:type="pct"/>
            <w:gridSpan w:val="4"/>
            <w:shd w:val="clear" w:color="auto" w:fill="auto"/>
            <w:noWrap/>
            <w:vAlign w:val="center"/>
            <w:hideMark/>
          </w:tcPr>
          <w:p w14:paraId="2624115A" w14:textId="77777777" w:rsidR="00816B74" w:rsidRPr="00E9581F" w:rsidRDefault="00816B74" w:rsidP="00742086">
            <w:pPr>
              <w:spacing w:after="0" w:line="240" w:lineRule="auto"/>
              <w:rPr>
                <w:rFonts w:eastAsia="Calibri" w:cs="Calibri"/>
                <w:i/>
                <w:color w:val="ED7D31"/>
                <w:lang w:val="en-GB" w:eastAsia="en-US"/>
              </w:rPr>
            </w:pPr>
            <w:r w:rsidRPr="00E9581F">
              <w:rPr>
                <w:rFonts w:eastAsia="Calibri" w:cs="Calibri"/>
                <w:i/>
                <w:color w:val="ED7D31"/>
                <w:lang w:val="en-GB" w:eastAsia="en-US"/>
              </w:rPr>
              <w:t>Energy efficiency</w:t>
            </w:r>
          </w:p>
        </w:tc>
      </w:tr>
      <w:tr w:rsidR="00816B74" w:rsidRPr="006836DF" w14:paraId="21B6593E" w14:textId="77777777" w:rsidTr="00742086">
        <w:trPr>
          <w:trHeight w:val="315"/>
        </w:trPr>
        <w:tc>
          <w:tcPr>
            <w:tcW w:w="1951" w:type="pct"/>
            <w:shd w:val="clear" w:color="auto" w:fill="auto"/>
            <w:noWrap/>
            <w:vAlign w:val="center"/>
          </w:tcPr>
          <w:p w14:paraId="1A1F00F1"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Description</w:t>
            </w:r>
          </w:p>
        </w:tc>
        <w:tc>
          <w:tcPr>
            <w:tcW w:w="3049" w:type="pct"/>
            <w:gridSpan w:val="4"/>
            <w:shd w:val="clear" w:color="auto" w:fill="auto"/>
            <w:noWrap/>
            <w:vAlign w:val="center"/>
          </w:tcPr>
          <w:p w14:paraId="3273DB71" w14:textId="77777777" w:rsidR="00816B74" w:rsidRPr="00E9581F" w:rsidRDefault="00816B74" w:rsidP="00742086">
            <w:pPr>
              <w:spacing w:after="0" w:line="240" w:lineRule="auto"/>
              <w:rPr>
                <w:rFonts w:eastAsia="Calibri" w:cs="Calibri"/>
                <w:i/>
                <w:color w:val="ED7D31"/>
                <w:lang w:val="en-GB" w:eastAsia="en-US"/>
              </w:rPr>
            </w:pPr>
            <w:r w:rsidRPr="00E9581F">
              <w:rPr>
                <w:rFonts w:eastAsia="Calibri" w:cs="Calibri"/>
                <w:i/>
                <w:color w:val="ED7D31"/>
                <w:lang w:val="en-GB" w:eastAsia="en-US"/>
              </w:rPr>
              <w:t>Energy management</w:t>
            </w:r>
          </w:p>
        </w:tc>
      </w:tr>
      <w:tr w:rsidR="00816B74" w:rsidRPr="006836DF" w14:paraId="2225E14B" w14:textId="77777777" w:rsidTr="00742086">
        <w:trPr>
          <w:trHeight w:val="315"/>
        </w:trPr>
        <w:tc>
          <w:tcPr>
            <w:tcW w:w="1951" w:type="pct"/>
            <w:shd w:val="clear" w:color="auto" w:fill="auto"/>
            <w:noWrap/>
            <w:vAlign w:val="center"/>
            <w:hideMark/>
          </w:tcPr>
          <w:p w14:paraId="6B8A552B"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Priority</w:t>
            </w:r>
          </w:p>
        </w:tc>
        <w:tc>
          <w:tcPr>
            <w:tcW w:w="1451" w:type="pct"/>
            <w:gridSpan w:val="2"/>
            <w:shd w:val="clear" w:color="auto" w:fill="auto"/>
            <w:noWrap/>
            <w:vAlign w:val="center"/>
            <w:hideMark/>
          </w:tcPr>
          <w:p w14:paraId="34F254EC" w14:textId="77777777" w:rsidR="00816B74" w:rsidRPr="00686B17" w:rsidRDefault="00816B74" w:rsidP="00742086">
            <w:pPr>
              <w:spacing w:after="0" w:line="240" w:lineRule="auto"/>
              <w:rPr>
                <w:rFonts w:eastAsia="Calibri" w:cs="Calibri"/>
                <w:color w:val="ED7D31"/>
                <w:lang w:val="en-GB" w:eastAsia="en-US"/>
              </w:rPr>
            </w:pPr>
            <w:r w:rsidRPr="00686B17">
              <w:rPr>
                <w:rFonts w:eastAsia="Calibri" w:cs="Calibri"/>
                <w:color w:val="ED7D31"/>
                <w:lang w:val="en-GB" w:eastAsia="en-US"/>
              </w:rPr>
              <w:t>High</w:t>
            </w:r>
          </w:p>
        </w:tc>
        <w:tc>
          <w:tcPr>
            <w:tcW w:w="924" w:type="pct"/>
            <w:shd w:val="clear" w:color="auto" w:fill="auto"/>
            <w:noWrap/>
            <w:vAlign w:val="center"/>
            <w:hideMark/>
          </w:tcPr>
          <w:p w14:paraId="4FB0B6C7"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Start Year</w:t>
            </w:r>
          </w:p>
        </w:tc>
        <w:tc>
          <w:tcPr>
            <w:tcW w:w="674" w:type="pct"/>
            <w:shd w:val="clear" w:color="auto" w:fill="auto"/>
            <w:noWrap/>
            <w:vAlign w:val="center"/>
            <w:hideMark/>
          </w:tcPr>
          <w:p w14:paraId="4960D05A" w14:textId="77777777" w:rsidR="00816B74" w:rsidRPr="00686B17" w:rsidRDefault="00816B74" w:rsidP="00742086">
            <w:pPr>
              <w:spacing w:after="0" w:line="240" w:lineRule="auto"/>
              <w:rPr>
                <w:rFonts w:eastAsia="Calibri" w:cs="Calibri"/>
                <w:i/>
                <w:color w:val="ED7D31"/>
                <w:lang w:val="en-GB" w:eastAsia="en-US"/>
              </w:rPr>
            </w:pPr>
            <w:r>
              <w:rPr>
                <w:rFonts w:eastAsia="Calibri" w:cs="Calibri"/>
                <w:i/>
                <w:color w:val="ED7D31"/>
                <w:lang w:val="en-GB" w:eastAsia="en-US"/>
              </w:rPr>
              <w:t>2019</w:t>
            </w:r>
          </w:p>
        </w:tc>
      </w:tr>
      <w:tr w:rsidR="00816B74" w:rsidRPr="006836DF" w14:paraId="7DE6B262" w14:textId="77777777" w:rsidTr="00742086">
        <w:trPr>
          <w:trHeight w:val="315"/>
        </w:trPr>
        <w:tc>
          <w:tcPr>
            <w:tcW w:w="1951" w:type="pct"/>
            <w:shd w:val="clear" w:color="auto" w:fill="auto"/>
            <w:noWrap/>
            <w:vAlign w:val="center"/>
            <w:hideMark/>
          </w:tcPr>
          <w:p w14:paraId="2240B07F"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Status of implementation</w:t>
            </w:r>
          </w:p>
        </w:tc>
        <w:tc>
          <w:tcPr>
            <w:tcW w:w="1451" w:type="pct"/>
            <w:gridSpan w:val="2"/>
            <w:shd w:val="clear" w:color="auto" w:fill="auto"/>
            <w:noWrap/>
            <w:vAlign w:val="center"/>
            <w:hideMark/>
          </w:tcPr>
          <w:p w14:paraId="26BFBF18" w14:textId="77777777" w:rsidR="00816B74" w:rsidRPr="00E9581F" w:rsidRDefault="00816B74" w:rsidP="00742086">
            <w:pPr>
              <w:spacing w:after="0" w:line="240" w:lineRule="auto"/>
              <w:rPr>
                <w:rFonts w:eastAsia="Calibri" w:cs="Calibri"/>
                <w:i/>
                <w:color w:val="ED7D31"/>
                <w:lang w:val="en-GB" w:eastAsia="en-US"/>
              </w:rPr>
            </w:pPr>
            <w:r w:rsidRPr="00686B17">
              <w:rPr>
                <w:rFonts w:eastAsia="Calibri" w:cs="Calibri"/>
                <w:i/>
                <w:color w:val="ED7D31"/>
                <w:lang w:val="en-GB" w:eastAsia="en-US"/>
              </w:rPr>
              <w:t>Ongoing</w:t>
            </w:r>
          </w:p>
        </w:tc>
        <w:tc>
          <w:tcPr>
            <w:tcW w:w="924" w:type="pct"/>
            <w:shd w:val="clear" w:color="auto" w:fill="auto"/>
            <w:noWrap/>
            <w:vAlign w:val="center"/>
            <w:hideMark/>
          </w:tcPr>
          <w:p w14:paraId="2512D616"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Ending Year</w:t>
            </w:r>
          </w:p>
        </w:tc>
        <w:tc>
          <w:tcPr>
            <w:tcW w:w="674" w:type="pct"/>
            <w:shd w:val="clear" w:color="auto" w:fill="auto"/>
            <w:noWrap/>
            <w:vAlign w:val="center"/>
            <w:hideMark/>
          </w:tcPr>
          <w:p w14:paraId="5EABBFB7" w14:textId="77777777" w:rsidR="00816B74" w:rsidRPr="00686B17" w:rsidRDefault="00816B74" w:rsidP="00742086">
            <w:pPr>
              <w:spacing w:after="0" w:line="240" w:lineRule="auto"/>
              <w:rPr>
                <w:rFonts w:eastAsia="Calibri" w:cs="Calibri"/>
                <w:color w:val="000000"/>
                <w:lang w:val="en-GB" w:eastAsia="en-US"/>
              </w:rPr>
            </w:pPr>
            <w:r>
              <w:rPr>
                <w:rFonts w:eastAsia="Calibri" w:cs="Calibri"/>
                <w:i/>
                <w:color w:val="ED7D31"/>
                <w:lang w:val="en-GB" w:eastAsia="en-US"/>
              </w:rPr>
              <w:t>2030</w:t>
            </w:r>
          </w:p>
        </w:tc>
      </w:tr>
      <w:tr w:rsidR="00816B74" w:rsidRPr="006836DF" w14:paraId="75A1629B" w14:textId="77777777" w:rsidTr="00742086">
        <w:trPr>
          <w:trHeight w:val="315"/>
        </w:trPr>
        <w:tc>
          <w:tcPr>
            <w:tcW w:w="1951" w:type="pct"/>
            <w:shd w:val="clear" w:color="auto" w:fill="auto"/>
            <w:noWrap/>
            <w:vAlign w:val="center"/>
            <w:hideMark/>
          </w:tcPr>
          <w:p w14:paraId="165650D1"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Main responsible for the measure</w:t>
            </w:r>
          </w:p>
        </w:tc>
        <w:tc>
          <w:tcPr>
            <w:tcW w:w="3049" w:type="pct"/>
            <w:gridSpan w:val="4"/>
            <w:shd w:val="clear" w:color="auto" w:fill="auto"/>
            <w:noWrap/>
            <w:vAlign w:val="center"/>
            <w:hideMark/>
          </w:tcPr>
          <w:p w14:paraId="0867151B" w14:textId="4ACC0467" w:rsidR="00816B74" w:rsidRPr="00686B17" w:rsidRDefault="00816B74" w:rsidP="00742086">
            <w:pPr>
              <w:spacing w:after="0" w:line="240" w:lineRule="auto"/>
              <w:rPr>
                <w:rFonts w:eastAsia="Calibri" w:cs="Calibri"/>
                <w:i/>
                <w:color w:val="ED7D31"/>
                <w:lang w:val="en-GB" w:eastAsia="en-US"/>
              </w:rPr>
            </w:pPr>
            <w:r w:rsidRPr="00E9581F">
              <w:rPr>
                <w:rFonts w:eastAsia="Calibri" w:cs="Calibri"/>
                <w:i/>
                <w:color w:val="ED7D31"/>
                <w:lang w:val="en-GB" w:eastAsia="en-US"/>
              </w:rPr>
              <w:t xml:space="preserve">The City of </w:t>
            </w:r>
            <w:r>
              <w:rPr>
                <w:rFonts w:eastAsia="Calibri" w:cs="Calibri"/>
                <w:i/>
                <w:color w:val="ED7D31"/>
                <w:lang w:val="en-GB" w:eastAsia="en-US"/>
              </w:rPr>
              <w:t>Vodnjan - DIgnano</w:t>
            </w:r>
          </w:p>
        </w:tc>
      </w:tr>
      <w:tr w:rsidR="00816B74" w:rsidRPr="006836DF" w14:paraId="63F8BB2E" w14:textId="77777777" w:rsidTr="00742086">
        <w:trPr>
          <w:trHeight w:val="315"/>
        </w:trPr>
        <w:tc>
          <w:tcPr>
            <w:tcW w:w="1951" w:type="pct"/>
            <w:shd w:val="clear" w:color="auto" w:fill="auto"/>
            <w:noWrap/>
            <w:vAlign w:val="center"/>
            <w:hideMark/>
          </w:tcPr>
          <w:p w14:paraId="4B50BE2F"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Stakeholders Involved</w:t>
            </w:r>
          </w:p>
        </w:tc>
        <w:tc>
          <w:tcPr>
            <w:tcW w:w="3049" w:type="pct"/>
            <w:gridSpan w:val="4"/>
            <w:shd w:val="clear" w:color="auto" w:fill="auto"/>
            <w:noWrap/>
            <w:vAlign w:val="center"/>
          </w:tcPr>
          <w:p w14:paraId="739CDDDF" w14:textId="68905CC9" w:rsidR="00816B74" w:rsidRPr="00686B17" w:rsidRDefault="00816B74" w:rsidP="00742086">
            <w:pPr>
              <w:spacing w:after="0" w:line="240" w:lineRule="auto"/>
              <w:rPr>
                <w:rFonts w:eastAsia="Calibri" w:cs="Calibri"/>
                <w:i/>
                <w:color w:val="ED7D31"/>
                <w:lang w:val="en-GB" w:eastAsia="en-US"/>
              </w:rPr>
            </w:pPr>
            <w:r w:rsidRPr="00E9581F">
              <w:rPr>
                <w:rFonts w:eastAsia="Calibri" w:cs="Calibri"/>
                <w:i/>
                <w:color w:val="ED7D31"/>
                <w:lang w:val="en-GB" w:eastAsia="en-US"/>
              </w:rPr>
              <w:t xml:space="preserve">The City of </w:t>
            </w:r>
            <w:r>
              <w:rPr>
                <w:rFonts w:eastAsia="Calibri" w:cs="Calibri"/>
                <w:i/>
                <w:color w:val="ED7D31"/>
                <w:lang w:val="en-GB" w:eastAsia="en-US"/>
              </w:rPr>
              <w:t>Vodnjan - DIgnano</w:t>
            </w:r>
          </w:p>
        </w:tc>
      </w:tr>
      <w:tr w:rsidR="00816B74" w:rsidRPr="006836DF" w14:paraId="66E1DB88" w14:textId="77777777" w:rsidTr="00742086">
        <w:trPr>
          <w:trHeight w:val="315"/>
        </w:trPr>
        <w:tc>
          <w:tcPr>
            <w:tcW w:w="1951" w:type="pct"/>
            <w:shd w:val="clear" w:color="auto" w:fill="auto"/>
            <w:noWrap/>
            <w:vAlign w:val="center"/>
            <w:hideMark/>
          </w:tcPr>
          <w:p w14:paraId="5831C7A0"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budget</w:t>
            </w:r>
          </w:p>
        </w:tc>
        <w:tc>
          <w:tcPr>
            <w:tcW w:w="3049" w:type="pct"/>
            <w:gridSpan w:val="4"/>
            <w:shd w:val="clear" w:color="auto" w:fill="auto"/>
            <w:noWrap/>
            <w:vAlign w:val="center"/>
            <w:hideMark/>
          </w:tcPr>
          <w:p w14:paraId="08C41EE5" w14:textId="10CC9C0D" w:rsidR="00816B74" w:rsidRPr="00E9581F" w:rsidRDefault="00BA58F7" w:rsidP="00742086">
            <w:pPr>
              <w:spacing w:after="0" w:line="240" w:lineRule="auto"/>
              <w:rPr>
                <w:rFonts w:cs="Calibri"/>
                <w:b/>
                <w:bCs/>
                <w:sz w:val="18"/>
                <w:szCs w:val="18"/>
              </w:rPr>
            </w:pPr>
            <w:r>
              <w:rPr>
                <w:rFonts w:eastAsia="Calibri" w:cs="Calibri"/>
                <w:color w:val="ED7D31"/>
                <w:lang w:val="en-GB" w:eastAsia="en-US"/>
              </w:rPr>
              <w:t>75,000</w:t>
            </w:r>
            <w:r w:rsidR="00816B74" w:rsidRPr="00686B17">
              <w:rPr>
                <w:rFonts w:eastAsia="Calibri" w:cs="Calibri"/>
                <w:color w:val="ED7D31"/>
                <w:lang w:val="en-GB" w:eastAsia="en-US"/>
              </w:rPr>
              <w:t xml:space="preserve"> €</w:t>
            </w:r>
          </w:p>
        </w:tc>
      </w:tr>
      <w:tr w:rsidR="00816B74" w:rsidRPr="006836DF" w14:paraId="7C25D7C4" w14:textId="77777777" w:rsidTr="00742086">
        <w:trPr>
          <w:trHeight w:val="315"/>
        </w:trPr>
        <w:tc>
          <w:tcPr>
            <w:tcW w:w="1951" w:type="pct"/>
            <w:shd w:val="clear" w:color="auto" w:fill="auto"/>
            <w:noWrap/>
            <w:vAlign w:val="center"/>
            <w:hideMark/>
          </w:tcPr>
          <w:p w14:paraId="01AFCDEC"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Funding source</w:t>
            </w:r>
          </w:p>
        </w:tc>
        <w:tc>
          <w:tcPr>
            <w:tcW w:w="3049" w:type="pct"/>
            <w:gridSpan w:val="4"/>
            <w:shd w:val="clear" w:color="auto" w:fill="auto"/>
            <w:noWrap/>
            <w:vAlign w:val="center"/>
            <w:hideMark/>
          </w:tcPr>
          <w:p w14:paraId="507B7E39" w14:textId="77777777" w:rsidR="00816B74" w:rsidRDefault="00816B74" w:rsidP="00742086">
            <w:pPr>
              <w:spacing w:after="0" w:line="240" w:lineRule="auto"/>
              <w:rPr>
                <w:rFonts w:eastAsia="Calibri" w:cs="Calibri"/>
                <w:i/>
                <w:color w:val="ED7D31"/>
                <w:lang w:val="en-GB" w:eastAsia="en-US"/>
              </w:rPr>
            </w:pPr>
            <w:r>
              <w:rPr>
                <w:rFonts w:eastAsia="Calibri" w:cs="Calibri"/>
                <w:i/>
                <w:color w:val="ED7D31"/>
                <w:lang w:val="en-GB" w:eastAsia="en-US"/>
              </w:rPr>
              <w:t>City budget</w:t>
            </w:r>
          </w:p>
          <w:p w14:paraId="2CA61FFC" w14:textId="77777777" w:rsidR="00816B74" w:rsidRPr="00686B17" w:rsidRDefault="00816B74" w:rsidP="00742086">
            <w:pPr>
              <w:spacing w:after="0" w:line="240" w:lineRule="auto"/>
              <w:rPr>
                <w:rFonts w:eastAsia="Calibri" w:cs="Calibri"/>
                <w:color w:val="000000"/>
                <w:lang w:val="en-GB" w:eastAsia="en-US"/>
              </w:rPr>
            </w:pPr>
            <w:r w:rsidRPr="00C27979">
              <w:rPr>
                <w:rFonts w:eastAsia="Calibri" w:cs="Calibri"/>
                <w:i/>
                <w:color w:val="ED7D31"/>
                <w:lang w:val="en-GB" w:eastAsia="en-US"/>
              </w:rPr>
              <w:t xml:space="preserve">The Environmental Protection and Energy Efficiency Fund (Fond za </w:t>
            </w:r>
            <w:proofErr w:type="spellStart"/>
            <w:r w:rsidRPr="00C27979">
              <w:rPr>
                <w:rFonts w:eastAsia="Calibri" w:cs="Calibri"/>
                <w:i/>
                <w:color w:val="ED7D31"/>
                <w:lang w:val="en-GB" w:eastAsia="en-US"/>
              </w:rPr>
              <w:t>zaštitu</w:t>
            </w:r>
            <w:proofErr w:type="spellEnd"/>
            <w:r w:rsidRPr="00C27979">
              <w:rPr>
                <w:rFonts w:eastAsia="Calibri" w:cs="Calibri"/>
                <w:i/>
                <w:color w:val="ED7D31"/>
                <w:lang w:val="en-GB" w:eastAsia="en-US"/>
              </w:rPr>
              <w:t xml:space="preserve"> </w:t>
            </w:r>
            <w:proofErr w:type="spellStart"/>
            <w:r w:rsidRPr="00C27979">
              <w:rPr>
                <w:rFonts w:eastAsia="Calibri" w:cs="Calibri"/>
                <w:i/>
                <w:color w:val="ED7D31"/>
                <w:lang w:val="en-GB" w:eastAsia="en-US"/>
              </w:rPr>
              <w:t>okoliša</w:t>
            </w:r>
            <w:proofErr w:type="spellEnd"/>
            <w:r w:rsidRPr="00C27979">
              <w:rPr>
                <w:rFonts w:eastAsia="Calibri" w:cs="Calibri"/>
                <w:i/>
                <w:color w:val="ED7D31"/>
                <w:lang w:val="en-GB" w:eastAsia="en-US"/>
              </w:rPr>
              <w:t xml:space="preserve"> </w:t>
            </w:r>
            <w:proofErr w:type="spellStart"/>
            <w:r w:rsidRPr="00C27979">
              <w:rPr>
                <w:rFonts w:eastAsia="Calibri" w:cs="Calibri"/>
                <w:i/>
                <w:color w:val="ED7D31"/>
                <w:lang w:val="en-GB" w:eastAsia="en-US"/>
              </w:rPr>
              <w:t>i</w:t>
            </w:r>
            <w:proofErr w:type="spellEnd"/>
            <w:r w:rsidRPr="00C27979">
              <w:rPr>
                <w:rFonts w:eastAsia="Calibri" w:cs="Calibri"/>
                <w:i/>
                <w:color w:val="ED7D31"/>
                <w:lang w:val="en-GB" w:eastAsia="en-US"/>
              </w:rPr>
              <w:t xml:space="preserve"> </w:t>
            </w:r>
            <w:proofErr w:type="spellStart"/>
            <w:r w:rsidRPr="00C27979">
              <w:rPr>
                <w:rFonts w:eastAsia="Calibri" w:cs="Calibri"/>
                <w:i/>
                <w:color w:val="ED7D31"/>
                <w:lang w:val="en-GB" w:eastAsia="en-US"/>
              </w:rPr>
              <w:t>energetsku</w:t>
            </w:r>
            <w:proofErr w:type="spellEnd"/>
            <w:r w:rsidRPr="00C27979">
              <w:rPr>
                <w:rFonts w:eastAsia="Calibri" w:cs="Calibri"/>
                <w:i/>
                <w:color w:val="ED7D31"/>
                <w:lang w:val="en-GB" w:eastAsia="en-US"/>
              </w:rPr>
              <w:t xml:space="preserve"> </w:t>
            </w:r>
            <w:proofErr w:type="spellStart"/>
            <w:r w:rsidRPr="00C27979">
              <w:rPr>
                <w:rFonts w:eastAsia="Calibri" w:cs="Calibri"/>
                <w:i/>
                <w:color w:val="ED7D31"/>
                <w:lang w:val="en-GB" w:eastAsia="en-US"/>
              </w:rPr>
              <w:t>učinkovitost</w:t>
            </w:r>
            <w:proofErr w:type="spellEnd"/>
            <w:r w:rsidRPr="00C27979">
              <w:rPr>
                <w:rFonts w:eastAsia="Calibri" w:cs="Calibri"/>
                <w:i/>
                <w:color w:val="ED7D31"/>
                <w:lang w:val="en-GB" w:eastAsia="en-US"/>
              </w:rPr>
              <w:t xml:space="preserve"> - </w:t>
            </w:r>
            <w:proofErr w:type="spellStart"/>
            <w:r w:rsidRPr="00C27979">
              <w:rPr>
                <w:rFonts w:eastAsia="Calibri" w:cs="Calibri"/>
                <w:i/>
                <w:color w:val="ED7D31"/>
                <w:lang w:val="en-GB" w:eastAsia="en-US"/>
              </w:rPr>
              <w:t>FZOEU</w:t>
            </w:r>
            <w:proofErr w:type="spellEnd"/>
            <w:r w:rsidRPr="00C27979">
              <w:rPr>
                <w:rFonts w:eastAsia="Calibri" w:cs="Calibri"/>
                <w:i/>
                <w:color w:val="ED7D31"/>
                <w:lang w:val="en-GB" w:eastAsia="en-US"/>
              </w:rPr>
              <w:t>)</w:t>
            </w:r>
          </w:p>
        </w:tc>
      </w:tr>
      <w:tr w:rsidR="00816B74" w:rsidRPr="006836DF" w14:paraId="15764042" w14:textId="77777777" w:rsidTr="00742086">
        <w:trPr>
          <w:trHeight w:val="330"/>
        </w:trPr>
        <w:tc>
          <w:tcPr>
            <w:tcW w:w="5000" w:type="pct"/>
            <w:gridSpan w:val="5"/>
            <w:shd w:val="clear" w:color="auto" w:fill="E7E6E6"/>
            <w:noWrap/>
            <w:vAlign w:val="center"/>
            <w:hideMark/>
          </w:tcPr>
          <w:p w14:paraId="52D37682" w14:textId="77777777" w:rsidR="00816B74" w:rsidRPr="006836DF" w:rsidRDefault="00816B74" w:rsidP="00742086">
            <w:pPr>
              <w:spacing w:after="0" w:line="240" w:lineRule="auto"/>
              <w:rPr>
                <w:rFonts w:eastAsia="Calibri" w:cs="Calibri"/>
                <w:b/>
                <w:bCs/>
                <w:color w:val="7F6000"/>
                <w:sz w:val="24"/>
                <w:lang w:val="en-GB" w:eastAsia="en-US"/>
              </w:rPr>
            </w:pPr>
            <w:r w:rsidRPr="006836DF">
              <w:rPr>
                <w:rFonts w:eastAsia="Calibri" w:cs="Calibri"/>
                <w:b/>
                <w:bCs/>
                <w:color w:val="7F6000"/>
                <w:sz w:val="24"/>
                <w:lang w:val="en-GB" w:eastAsia="en-US"/>
              </w:rPr>
              <w:t>Expected results</w:t>
            </w:r>
          </w:p>
        </w:tc>
      </w:tr>
      <w:tr w:rsidR="00816B74" w:rsidRPr="006836DF" w14:paraId="40DBA6B2" w14:textId="77777777" w:rsidTr="00742086">
        <w:trPr>
          <w:trHeight w:val="315"/>
        </w:trPr>
        <w:tc>
          <w:tcPr>
            <w:tcW w:w="2982" w:type="pct"/>
            <w:gridSpan w:val="2"/>
            <w:shd w:val="clear" w:color="auto" w:fill="auto"/>
            <w:noWrap/>
            <w:vAlign w:val="center"/>
            <w:hideMark/>
          </w:tcPr>
          <w:p w14:paraId="748BCE15"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CO</w:t>
            </w:r>
            <w:r w:rsidRPr="0040357A">
              <w:rPr>
                <w:rFonts w:eastAsia="Calibri" w:cs="Calibri"/>
                <w:b/>
                <w:bCs/>
                <w:color w:val="000000"/>
                <w:vertAlign w:val="subscript"/>
                <w:lang w:val="en-GB" w:eastAsia="en-US"/>
              </w:rPr>
              <w:t>2</w:t>
            </w:r>
            <w:r w:rsidRPr="00686B17">
              <w:rPr>
                <w:rFonts w:eastAsia="Calibri" w:cs="Calibri"/>
                <w:b/>
                <w:bCs/>
                <w:color w:val="000000"/>
                <w:lang w:val="en-GB" w:eastAsia="en-US"/>
              </w:rPr>
              <w:t xml:space="preserve"> reduction CO</w:t>
            </w:r>
            <w:r w:rsidRPr="0040357A">
              <w:rPr>
                <w:rFonts w:eastAsia="Calibri" w:cs="Calibri"/>
                <w:b/>
                <w:bCs/>
                <w:color w:val="000000"/>
                <w:vertAlign w:val="subscript"/>
                <w:lang w:val="en-GB" w:eastAsia="en-US"/>
              </w:rPr>
              <w:t>2</w:t>
            </w:r>
            <w:r w:rsidRPr="00686B17">
              <w:rPr>
                <w:rFonts w:eastAsia="Calibri" w:cs="Calibri"/>
                <w:b/>
                <w:bCs/>
                <w:color w:val="000000"/>
                <w:lang w:val="en-GB" w:eastAsia="en-US"/>
              </w:rPr>
              <w:t xml:space="preserve">/a </w:t>
            </w:r>
          </w:p>
        </w:tc>
        <w:tc>
          <w:tcPr>
            <w:tcW w:w="2018" w:type="pct"/>
            <w:gridSpan w:val="3"/>
            <w:shd w:val="clear" w:color="auto" w:fill="auto"/>
            <w:noWrap/>
            <w:vAlign w:val="center"/>
            <w:hideMark/>
          </w:tcPr>
          <w:p w14:paraId="326DFEFB" w14:textId="08C6E51D" w:rsidR="00816B74" w:rsidRPr="00E9581F" w:rsidRDefault="00BA58F7" w:rsidP="00742086">
            <w:pPr>
              <w:spacing w:after="0" w:line="240" w:lineRule="auto"/>
              <w:rPr>
                <w:rFonts w:cs="Calibri"/>
                <w:b/>
                <w:bCs/>
                <w:sz w:val="18"/>
                <w:szCs w:val="18"/>
                <w:lang w:val="hr-HR"/>
              </w:rPr>
            </w:pPr>
            <w:r>
              <w:rPr>
                <w:rFonts w:eastAsia="Calibri" w:cs="Calibri"/>
                <w:color w:val="ED7D31"/>
                <w:lang w:val="en-GB" w:eastAsia="en-US"/>
              </w:rPr>
              <w:t>6</w:t>
            </w:r>
            <w:r w:rsidR="00816B74">
              <w:rPr>
                <w:rFonts w:eastAsia="Calibri" w:cs="Calibri"/>
                <w:color w:val="ED7D31"/>
                <w:lang w:val="en-GB" w:eastAsia="en-US"/>
              </w:rPr>
              <w:t>.</w:t>
            </w:r>
            <w:r w:rsidR="00816B74" w:rsidRPr="00E9581F">
              <w:rPr>
                <w:rFonts w:eastAsia="Calibri" w:cs="Calibri"/>
                <w:color w:val="ED7D31"/>
                <w:lang w:val="en-GB" w:eastAsia="en-US"/>
              </w:rPr>
              <w:t>00</w:t>
            </w:r>
            <w:r w:rsidR="00816B74">
              <w:rPr>
                <w:rFonts w:eastAsia="Calibri" w:cs="Calibri"/>
                <w:color w:val="ED7D31"/>
                <w:lang w:val="en-GB" w:eastAsia="en-US"/>
              </w:rPr>
              <w:t xml:space="preserve"> t</w:t>
            </w:r>
            <w:r w:rsidR="00816B74" w:rsidRPr="00E9581F">
              <w:rPr>
                <w:rFonts w:eastAsia="Calibri" w:cs="Calibri"/>
                <w:color w:val="ED7D31"/>
                <w:lang w:val="en-GB" w:eastAsia="en-US"/>
              </w:rPr>
              <w:t xml:space="preserve"> CO</w:t>
            </w:r>
            <w:r w:rsidR="00816B74" w:rsidRPr="00E9581F">
              <w:rPr>
                <w:rFonts w:eastAsia="Calibri" w:cs="Calibri"/>
                <w:color w:val="ED7D31"/>
                <w:vertAlign w:val="subscript"/>
                <w:lang w:val="en-GB" w:eastAsia="en-US"/>
              </w:rPr>
              <w:t>2</w:t>
            </w:r>
          </w:p>
        </w:tc>
      </w:tr>
      <w:tr w:rsidR="00816B74" w:rsidRPr="006836DF" w14:paraId="0341404C" w14:textId="77777777" w:rsidTr="00742086">
        <w:trPr>
          <w:trHeight w:val="315"/>
        </w:trPr>
        <w:tc>
          <w:tcPr>
            <w:tcW w:w="2982" w:type="pct"/>
            <w:gridSpan w:val="2"/>
            <w:shd w:val="clear" w:color="auto" w:fill="auto"/>
            <w:noWrap/>
            <w:vAlign w:val="center"/>
            <w:hideMark/>
          </w:tcPr>
          <w:p w14:paraId="4596C764"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Energy savings MWh/a</w:t>
            </w:r>
          </w:p>
        </w:tc>
        <w:tc>
          <w:tcPr>
            <w:tcW w:w="2018" w:type="pct"/>
            <w:gridSpan w:val="3"/>
            <w:shd w:val="clear" w:color="auto" w:fill="auto"/>
            <w:noWrap/>
            <w:vAlign w:val="center"/>
            <w:hideMark/>
          </w:tcPr>
          <w:p w14:paraId="446C212B" w14:textId="33481DF3" w:rsidR="00816B74" w:rsidRPr="00E9581F" w:rsidRDefault="00BA58F7" w:rsidP="00742086">
            <w:pPr>
              <w:spacing w:after="0" w:line="240" w:lineRule="auto"/>
              <w:rPr>
                <w:rFonts w:cs="Calibri"/>
                <w:b/>
                <w:bCs/>
                <w:sz w:val="18"/>
                <w:szCs w:val="18"/>
              </w:rPr>
            </w:pPr>
            <w:r>
              <w:rPr>
                <w:rFonts w:eastAsia="Calibri" w:cs="Calibri"/>
                <w:color w:val="ED7D31"/>
                <w:lang w:val="en-GB" w:eastAsia="en-US"/>
              </w:rPr>
              <w:t>37.97</w:t>
            </w:r>
            <w:r w:rsidR="00816B74">
              <w:rPr>
                <w:rFonts w:eastAsia="Calibri" w:cs="Calibri"/>
                <w:color w:val="ED7D31"/>
                <w:lang w:val="en-GB" w:eastAsia="en-US"/>
              </w:rPr>
              <w:t xml:space="preserve"> MWh</w:t>
            </w:r>
          </w:p>
        </w:tc>
      </w:tr>
      <w:tr w:rsidR="00816B74" w:rsidRPr="006836DF" w14:paraId="40D3C6E2" w14:textId="77777777" w:rsidTr="00742086">
        <w:trPr>
          <w:trHeight w:val="315"/>
        </w:trPr>
        <w:tc>
          <w:tcPr>
            <w:tcW w:w="2982" w:type="pct"/>
            <w:gridSpan w:val="2"/>
            <w:shd w:val="clear" w:color="auto" w:fill="auto"/>
            <w:noWrap/>
            <w:vAlign w:val="center"/>
            <w:hideMark/>
          </w:tcPr>
          <w:p w14:paraId="794C56A2" w14:textId="77777777" w:rsidR="00816B74" w:rsidRPr="00686B17" w:rsidRDefault="00816B74" w:rsidP="00742086">
            <w:pPr>
              <w:spacing w:after="0" w:line="240" w:lineRule="auto"/>
              <w:rPr>
                <w:rFonts w:eastAsia="Calibri" w:cs="Calibri"/>
                <w:b/>
                <w:bCs/>
                <w:color w:val="000000"/>
                <w:lang w:val="en-GB" w:eastAsia="en-US"/>
              </w:rPr>
            </w:pPr>
            <w:r w:rsidRPr="00686B17">
              <w:rPr>
                <w:rFonts w:eastAsia="Calibri" w:cs="Calibri"/>
                <w:b/>
                <w:bCs/>
                <w:color w:val="000000"/>
                <w:lang w:val="en-GB" w:eastAsia="en-US"/>
              </w:rPr>
              <w:t>Estimated Renewable energy production MWh/a</w:t>
            </w:r>
          </w:p>
        </w:tc>
        <w:tc>
          <w:tcPr>
            <w:tcW w:w="2018" w:type="pct"/>
            <w:gridSpan w:val="3"/>
            <w:shd w:val="clear" w:color="auto" w:fill="auto"/>
            <w:noWrap/>
            <w:vAlign w:val="center"/>
            <w:hideMark/>
          </w:tcPr>
          <w:p w14:paraId="00A47972" w14:textId="77777777" w:rsidR="00816B74" w:rsidRPr="00686B17" w:rsidRDefault="00816B74" w:rsidP="00742086">
            <w:pPr>
              <w:spacing w:after="0" w:line="240" w:lineRule="auto"/>
              <w:rPr>
                <w:rFonts w:eastAsia="Calibri" w:cs="Calibri"/>
                <w:color w:val="000000"/>
                <w:lang w:val="en-GB" w:eastAsia="en-US"/>
              </w:rPr>
            </w:pPr>
            <w:r>
              <w:rPr>
                <w:rFonts w:eastAsia="Calibri" w:cs="Calibri"/>
                <w:color w:val="ED7D31"/>
                <w:lang w:val="en-GB" w:eastAsia="en-US"/>
              </w:rPr>
              <w:t>0</w:t>
            </w:r>
          </w:p>
        </w:tc>
      </w:tr>
    </w:tbl>
    <w:p w14:paraId="178195FC" w14:textId="77777777" w:rsidR="00816B74" w:rsidRDefault="00816B74" w:rsidP="00816B74">
      <w:pPr>
        <w:spacing w:after="160" w:line="259" w:lineRule="auto"/>
        <w:jc w:val="both"/>
        <w:rPr>
          <w:rFonts w:ascii="Century Gothic" w:eastAsia="Calibri" w:hAnsi="Century Gothic"/>
          <w:sz w:val="20"/>
          <w:lang w:val="en-US" w:eastAsia="en-US"/>
        </w:rPr>
      </w:pPr>
    </w:p>
    <w:p w14:paraId="6163A73B" w14:textId="77777777" w:rsidR="00816B74" w:rsidRDefault="00816B74" w:rsidP="00816B74">
      <w:pPr>
        <w:spacing w:after="160" w:line="259" w:lineRule="auto"/>
        <w:jc w:val="both"/>
        <w:rPr>
          <w:rFonts w:ascii="Century Gothic" w:eastAsia="Calibri" w:hAnsi="Century Gothic"/>
          <w:b/>
          <w:sz w:val="20"/>
          <w:lang w:val="en-US" w:eastAsia="en-US"/>
        </w:rPr>
      </w:pPr>
      <w:r w:rsidRPr="00FC2F78">
        <w:rPr>
          <w:rFonts w:ascii="Century Gothic" w:eastAsia="Calibri" w:hAnsi="Century Gothic"/>
          <w:b/>
          <w:sz w:val="20"/>
          <w:lang w:val="en-US" w:eastAsia="en-US"/>
        </w:rPr>
        <w:lastRenderedPageBreak/>
        <w:t xml:space="preserve">Conclusions </w:t>
      </w:r>
    </w:p>
    <w:p w14:paraId="47137599" w14:textId="5147C7A7" w:rsidR="00816B74" w:rsidRPr="00A7610C" w:rsidRDefault="00816B74" w:rsidP="00816B74">
      <w:pPr>
        <w:spacing w:after="160" w:line="259" w:lineRule="auto"/>
        <w:jc w:val="both"/>
        <w:rPr>
          <w:rFonts w:ascii="Century Gothic" w:eastAsia="Calibri" w:hAnsi="Century Gothic"/>
          <w:b/>
          <w:i/>
          <w:color w:val="ED7D31"/>
          <w:sz w:val="24"/>
          <w:lang w:val="en-US" w:eastAsia="en-US"/>
        </w:rPr>
      </w:pPr>
      <w:r w:rsidRPr="00986B46">
        <w:rPr>
          <w:rFonts w:ascii="Century Gothic" w:hAnsi="Century Gothic"/>
          <w:sz w:val="20"/>
          <w:szCs w:val="20"/>
          <w:lang w:val="en-US"/>
        </w:rPr>
        <w:t>Afore given analysis of the monitoring emission inventory of CO</w:t>
      </w:r>
      <w:r w:rsidRPr="00986B46">
        <w:rPr>
          <w:rFonts w:ascii="Century Gothic" w:hAnsi="Century Gothic"/>
          <w:sz w:val="20"/>
          <w:szCs w:val="20"/>
          <w:vertAlign w:val="subscript"/>
          <w:lang w:val="en-US"/>
        </w:rPr>
        <w:t>2</w:t>
      </w:r>
      <w:r w:rsidRPr="00986B46">
        <w:rPr>
          <w:rFonts w:ascii="Century Gothic" w:hAnsi="Century Gothic"/>
          <w:sz w:val="20"/>
          <w:szCs w:val="20"/>
          <w:lang w:val="en-US"/>
        </w:rPr>
        <w:t xml:space="preserve"> and the comparison with the baseline emission inventory of CO</w:t>
      </w:r>
      <w:r w:rsidRPr="00986B46">
        <w:rPr>
          <w:rFonts w:ascii="Century Gothic" w:hAnsi="Century Gothic"/>
          <w:sz w:val="20"/>
          <w:szCs w:val="20"/>
          <w:vertAlign w:val="subscript"/>
          <w:lang w:val="en-US"/>
        </w:rPr>
        <w:t xml:space="preserve">2 </w:t>
      </w:r>
      <w:r w:rsidRPr="00986B46">
        <w:rPr>
          <w:rFonts w:ascii="Century Gothic" w:hAnsi="Century Gothic" w:cstheme="minorHAnsi"/>
          <w:sz w:val="20"/>
          <w:szCs w:val="20"/>
          <w:lang w:val="en-US"/>
        </w:rPr>
        <w:t>points to the need of existing and new measures and activity implementation</w:t>
      </w:r>
      <w:r w:rsidRPr="00986B46" w:rsidDel="00216810">
        <w:rPr>
          <w:rFonts w:ascii="Century Gothic" w:hAnsi="Century Gothic"/>
          <w:sz w:val="20"/>
          <w:szCs w:val="20"/>
          <w:lang w:val="en-US"/>
        </w:rPr>
        <w:t xml:space="preserve"> </w:t>
      </w:r>
      <w:r w:rsidRPr="00986B46">
        <w:rPr>
          <w:rFonts w:ascii="Century Gothic" w:hAnsi="Century Gothic"/>
          <w:sz w:val="20"/>
          <w:szCs w:val="20"/>
          <w:lang w:val="en-US"/>
        </w:rPr>
        <w:t>for CO</w:t>
      </w:r>
      <w:r w:rsidRPr="00986B46">
        <w:rPr>
          <w:rFonts w:ascii="Century Gothic" w:hAnsi="Century Gothic"/>
          <w:sz w:val="20"/>
          <w:szCs w:val="20"/>
          <w:vertAlign w:val="subscript"/>
          <w:lang w:val="en-US"/>
        </w:rPr>
        <w:t xml:space="preserve">2 </w:t>
      </w:r>
      <w:r w:rsidRPr="00986B46">
        <w:rPr>
          <w:rFonts w:ascii="Century Gothic" w:hAnsi="Century Gothic"/>
          <w:sz w:val="20"/>
          <w:szCs w:val="20"/>
          <w:lang w:val="en-US"/>
        </w:rPr>
        <w:t>reduction, especially in the building and transport sector in order to achieve total reduction in energy consumption and CO</w:t>
      </w:r>
      <w:r w:rsidRPr="00986B46">
        <w:rPr>
          <w:rFonts w:ascii="Century Gothic" w:hAnsi="Century Gothic"/>
          <w:sz w:val="20"/>
          <w:szCs w:val="20"/>
          <w:vertAlign w:val="subscript"/>
          <w:lang w:val="en-US"/>
        </w:rPr>
        <w:t xml:space="preserve">2 </w:t>
      </w:r>
      <w:r w:rsidRPr="00986B46">
        <w:rPr>
          <w:rFonts w:ascii="Century Gothic" w:hAnsi="Century Gothic"/>
          <w:sz w:val="20"/>
          <w:szCs w:val="20"/>
          <w:lang w:val="en-US"/>
        </w:rPr>
        <w:t>emission.</w:t>
      </w:r>
    </w:p>
    <w:p w14:paraId="39945F2D" w14:textId="1EFD2510" w:rsidR="00A7610C" w:rsidRPr="00A7610C" w:rsidRDefault="00A7610C" w:rsidP="00816B74">
      <w:pPr>
        <w:spacing w:after="160" w:line="259" w:lineRule="auto"/>
        <w:jc w:val="both"/>
        <w:rPr>
          <w:rFonts w:ascii="Century Gothic" w:eastAsia="Calibri" w:hAnsi="Century Gothic"/>
          <w:b/>
          <w:i/>
          <w:color w:val="ED7D31"/>
          <w:sz w:val="24"/>
          <w:lang w:val="en-US" w:eastAsia="en-US"/>
        </w:rPr>
      </w:pPr>
    </w:p>
    <w:sectPr w:rsidR="00A7610C" w:rsidRPr="00A7610C" w:rsidSect="000E44A1">
      <w:pgSz w:w="12240" w:h="15840"/>
      <w:pgMar w:top="1440" w:right="1325"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43BB42" w14:textId="77777777" w:rsidR="00FA5EF0" w:rsidRDefault="00FA5EF0">
      <w:pPr>
        <w:spacing w:after="0" w:line="240" w:lineRule="auto"/>
      </w:pPr>
      <w:r>
        <w:separator/>
      </w:r>
    </w:p>
  </w:endnote>
  <w:endnote w:type="continuationSeparator" w:id="0">
    <w:p w14:paraId="71A8605F" w14:textId="77777777" w:rsidR="00FA5EF0" w:rsidRDefault="00FA5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minorEastAs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70A28" w14:textId="77777777" w:rsidR="000E44A1" w:rsidRDefault="000E44A1">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A44D1" w14:textId="30D50396" w:rsidR="00AE76B0" w:rsidRDefault="00E335BD">
    <w:pPr>
      <w:pStyle w:val="Podnoje"/>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131B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131B2">
      <w:rPr>
        <w:b/>
        <w:bCs/>
        <w:noProof/>
      </w:rPr>
      <w:t>14</w:t>
    </w:r>
    <w:r>
      <w:rPr>
        <w:b/>
        <w:bCs/>
        <w:sz w:val="24"/>
        <w:szCs w:val="24"/>
      </w:rPr>
      <w:fldChar w:fldCharType="end"/>
    </w:r>
  </w:p>
  <w:p w14:paraId="42DF03E1" w14:textId="77777777" w:rsidR="00AE76B0" w:rsidRDefault="00AE76B0">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532B3" w14:textId="77777777" w:rsidR="000E44A1" w:rsidRDefault="000E44A1">
    <w:pPr>
      <w:pStyle w:val="Podnoj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C7C73" w14:textId="77777777" w:rsidR="00E22C0F" w:rsidRDefault="00E22C0F">
    <w:pPr>
      <w:pStyle w:val="Podnoj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22CE0" w14:textId="39FA2DAB" w:rsidR="00574775" w:rsidRDefault="00574775">
    <w:pPr>
      <w:pStyle w:val="Podnoje"/>
      <w:jc w:val="right"/>
    </w:pPr>
    <w:bookmarkStart w:id="0" w:name="_GoBack"/>
    <w:bookmarkEnd w:id="0"/>
    <w:r>
      <w:t xml:space="preserve">Page </w:t>
    </w:r>
    <w:r>
      <w:rPr>
        <w:b/>
        <w:bCs/>
        <w:sz w:val="24"/>
        <w:szCs w:val="24"/>
      </w:rPr>
      <w:fldChar w:fldCharType="begin"/>
    </w:r>
    <w:r>
      <w:rPr>
        <w:b/>
        <w:bCs/>
      </w:rPr>
      <w:instrText xml:space="preserve"> PAGE </w:instrText>
    </w:r>
    <w:r>
      <w:rPr>
        <w:b/>
        <w:bCs/>
        <w:sz w:val="24"/>
        <w:szCs w:val="24"/>
      </w:rPr>
      <w:fldChar w:fldCharType="separate"/>
    </w:r>
    <w:r w:rsidR="00B131B2">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131B2">
      <w:rPr>
        <w:b/>
        <w:bCs/>
        <w:noProof/>
      </w:rPr>
      <w:t>14</w:t>
    </w:r>
    <w:r>
      <w:rPr>
        <w:b/>
        <w:bCs/>
        <w:sz w:val="24"/>
        <w:szCs w:val="24"/>
      </w:rPr>
      <w:fldChar w:fldCharType="end"/>
    </w:r>
  </w:p>
  <w:p w14:paraId="0AB07D06" w14:textId="77777777" w:rsidR="00574775" w:rsidRDefault="00574775">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B4AF41" w14:textId="77777777" w:rsidR="00FA5EF0" w:rsidRDefault="00FA5EF0">
      <w:pPr>
        <w:spacing w:after="0" w:line="240" w:lineRule="auto"/>
      </w:pPr>
      <w:r>
        <w:separator/>
      </w:r>
    </w:p>
  </w:footnote>
  <w:footnote w:type="continuationSeparator" w:id="0">
    <w:p w14:paraId="47349A23" w14:textId="77777777" w:rsidR="00FA5EF0" w:rsidRDefault="00FA5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2C67C" w14:textId="77777777" w:rsidR="000E44A1" w:rsidRDefault="000E44A1">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5CFBD" w14:textId="62470903" w:rsidR="00AE76B0" w:rsidRPr="006836DF" w:rsidRDefault="00D87B81" w:rsidP="00C458CD">
    <w:pPr>
      <w:pStyle w:val="Zaglavlje"/>
      <w:rPr>
        <w:color w:val="31849B"/>
        <w:sz w:val="20"/>
        <w:szCs w:val="20"/>
      </w:rPr>
    </w:pPr>
    <w:r w:rsidRPr="00A85F4F">
      <w:rPr>
        <w:noProof/>
        <w:lang w:val="en-US" w:eastAsia="en-US"/>
      </w:rPr>
      <w:drawing>
        <wp:inline distT="0" distB="0" distL="0" distR="0" wp14:anchorId="05DA260F" wp14:editId="5155C3D8">
          <wp:extent cx="1276350" cy="78105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781050"/>
                  </a:xfrm>
                  <a:prstGeom prst="rect">
                    <a:avLst/>
                  </a:prstGeom>
                  <a:noFill/>
                  <a:ln>
                    <a:noFill/>
                  </a:ln>
                </pic:spPr>
              </pic:pic>
            </a:graphicData>
          </a:graphic>
        </wp:inline>
      </w:drawing>
    </w:r>
  </w:p>
  <w:p w14:paraId="513F6C03" w14:textId="77777777" w:rsidR="00C4391D" w:rsidRPr="006836DF" w:rsidRDefault="00C458CD" w:rsidP="009C261A">
    <w:pPr>
      <w:spacing w:after="0" w:line="240" w:lineRule="auto"/>
      <w:jc w:val="right"/>
      <w:rPr>
        <w:color w:val="31849B"/>
        <w:sz w:val="20"/>
        <w:szCs w:val="20"/>
        <w:lang w:val="en-US"/>
      </w:rPr>
    </w:pPr>
    <w:r w:rsidRPr="006836DF">
      <w:rPr>
        <w:color w:val="31849B"/>
        <w:sz w:val="20"/>
        <w:szCs w:val="20"/>
        <w:lang w:val="en-US"/>
      </w:rPr>
      <w:t>Work Package 5</w:t>
    </w:r>
  </w:p>
  <w:p w14:paraId="091F8D94" w14:textId="4D1DDD0E" w:rsidR="00CB1EBC" w:rsidRPr="006836DF" w:rsidRDefault="00CB1EBC" w:rsidP="009C261A">
    <w:pPr>
      <w:spacing w:after="0" w:line="240" w:lineRule="auto"/>
      <w:jc w:val="right"/>
      <w:rPr>
        <w:color w:val="31849B"/>
        <w:sz w:val="20"/>
        <w:szCs w:val="20"/>
        <w:lang w:val="en-US"/>
      </w:rPr>
    </w:pPr>
    <w:r w:rsidRPr="006836DF">
      <w:rPr>
        <w:color w:val="31849B"/>
        <w:sz w:val="20"/>
        <w:szCs w:val="20"/>
        <w:lang w:val="en-US"/>
      </w:rPr>
      <w:t>Task 5.3</w:t>
    </w:r>
    <w:r w:rsidR="00B37623" w:rsidRPr="006836DF">
      <w:rPr>
        <w:color w:val="31849B"/>
        <w:sz w:val="20"/>
        <w:szCs w:val="20"/>
        <w:lang w:val="en-US"/>
      </w:rPr>
      <w:t>: “</w:t>
    </w:r>
    <w:r w:rsidRPr="006836DF">
      <w:rPr>
        <w:color w:val="31849B"/>
        <w:sz w:val="20"/>
        <w:szCs w:val="20"/>
        <w:lang w:val="en-US"/>
      </w:rPr>
      <w:t xml:space="preserve">INTEGRATED SUSTAINABLE ENERGY PLAN AND </w:t>
    </w:r>
    <w:proofErr w:type="spellStart"/>
    <w:r w:rsidRPr="006836DF">
      <w:rPr>
        <w:color w:val="31849B"/>
        <w:sz w:val="20"/>
        <w:szCs w:val="20"/>
        <w:lang w:val="en-US"/>
      </w:rPr>
      <w:t>SEAP</w:t>
    </w:r>
    <w:proofErr w:type="spellEnd"/>
    <w:r w:rsidRPr="006836DF">
      <w:rPr>
        <w:color w:val="31849B"/>
        <w:sz w:val="20"/>
        <w:szCs w:val="20"/>
        <w:lang w:val="en-US"/>
      </w:rPr>
      <w:t>/</w:t>
    </w:r>
    <w:proofErr w:type="spellStart"/>
    <w:r w:rsidRPr="006836DF">
      <w:rPr>
        <w:color w:val="31849B"/>
        <w:sz w:val="20"/>
        <w:szCs w:val="20"/>
        <w:lang w:val="en-US"/>
      </w:rPr>
      <w:t>SECAP</w:t>
    </w:r>
    <w:proofErr w:type="spellEnd"/>
    <w:r w:rsidRPr="006836DF">
      <w:rPr>
        <w:color w:val="31849B"/>
        <w:sz w:val="20"/>
        <w:szCs w:val="20"/>
        <w:lang w:val="en-US"/>
      </w:rPr>
      <w:t xml:space="preserve"> (ONLY MITIGATION PART) DRAFTING AND ADOPTION ACKNOWLEDGEMENT” </w:t>
    </w:r>
  </w:p>
  <w:p w14:paraId="1A871C1E" w14:textId="77777777" w:rsidR="009C261A" w:rsidRPr="006836DF" w:rsidRDefault="009C261A" w:rsidP="009C261A">
    <w:pPr>
      <w:spacing w:after="0" w:line="240" w:lineRule="auto"/>
      <w:jc w:val="right"/>
      <w:rPr>
        <w:rFonts w:eastAsia="Calibri"/>
        <w:color w:val="31849B"/>
        <w:sz w:val="20"/>
        <w:szCs w:val="20"/>
        <w:lang w:val="en-GB"/>
      </w:rPr>
    </w:pPr>
    <w:r w:rsidRPr="006836DF">
      <w:rPr>
        <w:rFonts w:eastAsia="Calibri"/>
        <w:color w:val="31849B"/>
        <w:sz w:val="20"/>
        <w:szCs w:val="20"/>
        <w:lang w:val="en-GB"/>
      </w:rPr>
      <w:t>SF_5.3c: SECAP Executive Summary template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6F777" w14:textId="77777777" w:rsidR="000E44A1" w:rsidRDefault="000E44A1">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DCA03" w14:textId="2B0342CB" w:rsidR="00E22C0F" w:rsidRPr="006836DF" w:rsidRDefault="00E22C0F" w:rsidP="003272E4">
    <w:pPr>
      <w:pStyle w:val="Zaglavlje"/>
      <w:jc w:val="right"/>
      <w:rPr>
        <w:rFonts w:eastAsia="Calibri"/>
        <w:color w:val="31849B"/>
        <w:sz w:val="20"/>
        <w:szCs w:val="20"/>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B8B2C" w14:textId="77777777" w:rsidR="003272E4" w:rsidRPr="003272E4" w:rsidRDefault="003272E4" w:rsidP="003272E4">
    <w:pPr>
      <w:shd w:val="clear" w:color="auto" w:fill="E7E6E6"/>
      <w:spacing w:after="0"/>
      <w:jc w:val="right"/>
      <w:rPr>
        <w:rFonts w:ascii="Century Gothic" w:hAnsi="Century Gothic"/>
        <w:b/>
        <w:smallCaps/>
        <w:color w:val="31849B"/>
        <w:sz w:val="20"/>
        <w:szCs w:val="20"/>
        <w:lang w:val="en-US"/>
      </w:rPr>
    </w:pPr>
    <w:r w:rsidRPr="003272E4">
      <w:rPr>
        <w:rFonts w:ascii="Century Gothic" w:hAnsi="Century Gothic"/>
        <w:b/>
        <w:smallCaps/>
        <w:color w:val="31849B"/>
        <w:sz w:val="20"/>
        <w:szCs w:val="20"/>
        <w:lang w:val="en-US"/>
      </w:rPr>
      <w:t>Executive Summary</w:t>
    </w:r>
  </w:p>
  <w:p w14:paraId="7C46CF2D" w14:textId="77777777" w:rsidR="003272E4" w:rsidRPr="003272E4" w:rsidRDefault="003272E4" w:rsidP="003272E4">
    <w:pPr>
      <w:shd w:val="clear" w:color="auto" w:fill="E7E6E6"/>
      <w:spacing w:after="0"/>
      <w:jc w:val="right"/>
      <w:rPr>
        <w:rFonts w:ascii="Century Gothic" w:hAnsi="Century Gothic"/>
        <w:b/>
        <w:smallCaps/>
        <w:color w:val="31849B"/>
        <w:sz w:val="20"/>
        <w:szCs w:val="20"/>
        <w:lang w:val="en-US"/>
      </w:rPr>
    </w:pPr>
    <w:r w:rsidRPr="003272E4">
      <w:rPr>
        <w:rFonts w:ascii="Century Gothic" w:hAnsi="Century Gothic"/>
        <w:b/>
        <w:smallCaps/>
        <w:color w:val="31849B"/>
        <w:sz w:val="20"/>
        <w:szCs w:val="20"/>
        <w:lang w:val="en-US"/>
      </w:rPr>
      <w:t>Sustainable Energy and Climate Action Plan</w:t>
    </w:r>
  </w:p>
  <w:p w14:paraId="4386FA64" w14:textId="17F0FC9F" w:rsidR="003272E4" w:rsidRPr="003272E4" w:rsidRDefault="003272E4" w:rsidP="003272E4">
    <w:pPr>
      <w:shd w:val="clear" w:color="auto" w:fill="E7E6E6"/>
      <w:spacing w:after="0"/>
      <w:jc w:val="right"/>
      <w:rPr>
        <w:rFonts w:ascii="Century Gothic" w:hAnsi="Century Gothic"/>
        <w:b/>
        <w:smallCaps/>
        <w:color w:val="31849B"/>
        <w:sz w:val="20"/>
        <w:szCs w:val="20"/>
        <w:lang w:val="en-US"/>
      </w:rPr>
    </w:pPr>
    <w:r w:rsidRPr="003272E4">
      <w:rPr>
        <w:rFonts w:ascii="Century Gothic" w:hAnsi="Century Gothic"/>
        <w:b/>
        <w:smallCaps/>
        <w:color w:val="31849B"/>
        <w:sz w:val="20"/>
        <w:szCs w:val="20"/>
        <w:lang w:val="en-US"/>
      </w:rPr>
      <w:t xml:space="preserve">Municipality of </w:t>
    </w:r>
    <w:r w:rsidR="00166F89">
      <w:rPr>
        <w:rFonts w:ascii="Century Gothic" w:hAnsi="Century Gothic"/>
        <w:b/>
        <w:smallCaps/>
        <w:color w:val="C45911" w:themeColor="accent2" w:themeShade="BF"/>
        <w:sz w:val="20"/>
        <w:szCs w:val="20"/>
        <w:lang w:val="en-US"/>
      </w:rPr>
      <w:t>Vodnjan</w:t>
    </w:r>
  </w:p>
  <w:p w14:paraId="5994B5D0" w14:textId="77777777" w:rsidR="003272E4" w:rsidRPr="003272E4" w:rsidRDefault="003272E4" w:rsidP="003272E4">
    <w:pPr>
      <w:pStyle w:val="Zaglavlje"/>
      <w:jc w:val="right"/>
      <w:rPr>
        <w:rFonts w:ascii="Century Gothic" w:eastAsia="Calibri" w:hAnsi="Century Gothic"/>
        <w:color w:val="31849B"/>
        <w:sz w:val="20"/>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61EA"/>
    <w:multiLevelType w:val="multilevel"/>
    <w:tmpl w:val="009A6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9176E31"/>
    <w:multiLevelType w:val="hybridMultilevel"/>
    <w:tmpl w:val="DB96AF28"/>
    <w:lvl w:ilvl="0" w:tplc="0408000D">
      <w:start w:val="1"/>
      <w:numFmt w:val="bullet"/>
      <w:lvlText w:val=""/>
      <w:lvlJc w:val="left"/>
      <w:pPr>
        <w:ind w:left="720" w:hanging="360"/>
      </w:pPr>
      <w:rPr>
        <w:rFonts w:ascii="Wingdings" w:hAnsi="Wingdings" w:hint="default"/>
      </w:rPr>
    </w:lvl>
    <w:lvl w:ilvl="1" w:tplc="9AA067BA">
      <w:start w:val="1"/>
      <w:numFmt w:val="bullet"/>
      <w:lvlText w:val="-"/>
      <w:lvlJc w:val="left"/>
      <w:pPr>
        <w:ind w:left="1440" w:hanging="36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26681594"/>
    <w:multiLevelType w:val="hybridMultilevel"/>
    <w:tmpl w:val="0B2A8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A054061"/>
    <w:multiLevelType w:val="hybridMultilevel"/>
    <w:tmpl w:val="0BD4398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390A7688"/>
    <w:multiLevelType w:val="hybridMultilevel"/>
    <w:tmpl w:val="0EE01C0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39D2FFF"/>
    <w:multiLevelType w:val="hybridMultilevel"/>
    <w:tmpl w:val="FD74F9FA"/>
    <w:lvl w:ilvl="0" w:tplc="8E3E780E">
      <w:start w:val="1"/>
      <w:numFmt w:val="bullet"/>
      <w:lvlText w:val="•"/>
      <w:lvlJc w:val="left"/>
      <w:pPr>
        <w:tabs>
          <w:tab w:val="num" w:pos="720"/>
        </w:tabs>
        <w:ind w:left="720" w:hanging="360"/>
      </w:pPr>
      <w:rPr>
        <w:rFonts w:ascii="Times New Roman" w:hAnsi="Times New Roman" w:hint="default"/>
      </w:rPr>
    </w:lvl>
    <w:lvl w:ilvl="1" w:tplc="339EB7AA">
      <w:numFmt w:val="bullet"/>
      <w:lvlText w:val="•"/>
      <w:lvlJc w:val="left"/>
      <w:pPr>
        <w:tabs>
          <w:tab w:val="num" w:pos="1440"/>
        </w:tabs>
        <w:ind w:left="1440" w:hanging="360"/>
      </w:pPr>
      <w:rPr>
        <w:rFonts w:ascii="Times New Roman" w:hAnsi="Times New Roman" w:hint="default"/>
      </w:rPr>
    </w:lvl>
    <w:lvl w:ilvl="2" w:tplc="7E76EA5C" w:tentative="1">
      <w:start w:val="1"/>
      <w:numFmt w:val="bullet"/>
      <w:lvlText w:val="•"/>
      <w:lvlJc w:val="left"/>
      <w:pPr>
        <w:tabs>
          <w:tab w:val="num" w:pos="2160"/>
        </w:tabs>
        <w:ind w:left="2160" w:hanging="360"/>
      </w:pPr>
      <w:rPr>
        <w:rFonts w:ascii="Times New Roman" w:hAnsi="Times New Roman" w:hint="default"/>
      </w:rPr>
    </w:lvl>
    <w:lvl w:ilvl="3" w:tplc="82DA8CA4" w:tentative="1">
      <w:start w:val="1"/>
      <w:numFmt w:val="bullet"/>
      <w:lvlText w:val="•"/>
      <w:lvlJc w:val="left"/>
      <w:pPr>
        <w:tabs>
          <w:tab w:val="num" w:pos="2880"/>
        </w:tabs>
        <w:ind w:left="2880" w:hanging="360"/>
      </w:pPr>
      <w:rPr>
        <w:rFonts w:ascii="Times New Roman" w:hAnsi="Times New Roman" w:hint="default"/>
      </w:rPr>
    </w:lvl>
    <w:lvl w:ilvl="4" w:tplc="F72A8C1E" w:tentative="1">
      <w:start w:val="1"/>
      <w:numFmt w:val="bullet"/>
      <w:lvlText w:val="•"/>
      <w:lvlJc w:val="left"/>
      <w:pPr>
        <w:tabs>
          <w:tab w:val="num" w:pos="3600"/>
        </w:tabs>
        <w:ind w:left="3600" w:hanging="360"/>
      </w:pPr>
      <w:rPr>
        <w:rFonts w:ascii="Times New Roman" w:hAnsi="Times New Roman" w:hint="default"/>
      </w:rPr>
    </w:lvl>
    <w:lvl w:ilvl="5" w:tplc="F5AEB6A2" w:tentative="1">
      <w:start w:val="1"/>
      <w:numFmt w:val="bullet"/>
      <w:lvlText w:val="•"/>
      <w:lvlJc w:val="left"/>
      <w:pPr>
        <w:tabs>
          <w:tab w:val="num" w:pos="4320"/>
        </w:tabs>
        <w:ind w:left="4320" w:hanging="360"/>
      </w:pPr>
      <w:rPr>
        <w:rFonts w:ascii="Times New Roman" w:hAnsi="Times New Roman" w:hint="default"/>
      </w:rPr>
    </w:lvl>
    <w:lvl w:ilvl="6" w:tplc="0FE66828" w:tentative="1">
      <w:start w:val="1"/>
      <w:numFmt w:val="bullet"/>
      <w:lvlText w:val="•"/>
      <w:lvlJc w:val="left"/>
      <w:pPr>
        <w:tabs>
          <w:tab w:val="num" w:pos="5040"/>
        </w:tabs>
        <w:ind w:left="5040" w:hanging="360"/>
      </w:pPr>
      <w:rPr>
        <w:rFonts w:ascii="Times New Roman" w:hAnsi="Times New Roman" w:hint="default"/>
      </w:rPr>
    </w:lvl>
    <w:lvl w:ilvl="7" w:tplc="292AAD76" w:tentative="1">
      <w:start w:val="1"/>
      <w:numFmt w:val="bullet"/>
      <w:lvlText w:val="•"/>
      <w:lvlJc w:val="left"/>
      <w:pPr>
        <w:tabs>
          <w:tab w:val="num" w:pos="5760"/>
        </w:tabs>
        <w:ind w:left="5760" w:hanging="360"/>
      </w:pPr>
      <w:rPr>
        <w:rFonts w:ascii="Times New Roman" w:hAnsi="Times New Roman" w:hint="default"/>
      </w:rPr>
    </w:lvl>
    <w:lvl w:ilvl="8" w:tplc="37F2BEB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73F95646"/>
    <w:multiLevelType w:val="hybridMultilevel"/>
    <w:tmpl w:val="F04071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6"/>
  </w:num>
  <w:num w:numId="6">
    <w:abstractNumId w:val="5"/>
  </w:num>
  <w:num w:numId="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565E"/>
    <w:rsid w:val="000016C6"/>
    <w:rsid w:val="000049D9"/>
    <w:rsid w:val="00022DC1"/>
    <w:rsid w:val="00041FE2"/>
    <w:rsid w:val="000609C3"/>
    <w:rsid w:val="00080119"/>
    <w:rsid w:val="000879A9"/>
    <w:rsid w:val="00090803"/>
    <w:rsid w:val="000D1141"/>
    <w:rsid w:val="000E2739"/>
    <w:rsid w:val="000E296B"/>
    <w:rsid w:val="000E44A1"/>
    <w:rsid w:val="000F5605"/>
    <w:rsid w:val="0011635D"/>
    <w:rsid w:val="0013107F"/>
    <w:rsid w:val="00150335"/>
    <w:rsid w:val="00166F89"/>
    <w:rsid w:val="00171933"/>
    <w:rsid w:val="00186F18"/>
    <w:rsid w:val="001B32E9"/>
    <w:rsid w:val="001B708D"/>
    <w:rsid w:val="001E7B0E"/>
    <w:rsid w:val="001F2F62"/>
    <w:rsid w:val="00207E8A"/>
    <w:rsid w:val="0023366E"/>
    <w:rsid w:val="002360AA"/>
    <w:rsid w:val="002555CC"/>
    <w:rsid w:val="002640A3"/>
    <w:rsid w:val="002D2820"/>
    <w:rsid w:val="002D3C6C"/>
    <w:rsid w:val="002F6CA9"/>
    <w:rsid w:val="00316E91"/>
    <w:rsid w:val="003272E4"/>
    <w:rsid w:val="00345936"/>
    <w:rsid w:val="00347D89"/>
    <w:rsid w:val="00390AB5"/>
    <w:rsid w:val="00392F09"/>
    <w:rsid w:val="003A5ECA"/>
    <w:rsid w:val="003B399A"/>
    <w:rsid w:val="003D17DF"/>
    <w:rsid w:val="003D6F9C"/>
    <w:rsid w:val="003E4D74"/>
    <w:rsid w:val="003F1D6B"/>
    <w:rsid w:val="0040357A"/>
    <w:rsid w:val="00405F19"/>
    <w:rsid w:val="00417481"/>
    <w:rsid w:val="00417B94"/>
    <w:rsid w:val="004217B1"/>
    <w:rsid w:val="004231BD"/>
    <w:rsid w:val="00440B55"/>
    <w:rsid w:val="0044361A"/>
    <w:rsid w:val="0046015E"/>
    <w:rsid w:val="004747A3"/>
    <w:rsid w:val="00490336"/>
    <w:rsid w:val="004A34F2"/>
    <w:rsid w:val="004D762D"/>
    <w:rsid w:val="004F6D36"/>
    <w:rsid w:val="005067A6"/>
    <w:rsid w:val="00525A32"/>
    <w:rsid w:val="005268A8"/>
    <w:rsid w:val="00527010"/>
    <w:rsid w:val="00531096"/>
    <w:rsid w:val="00556EA5"/>
    <w:rsid w:val="00565858"/>
    <w:rsid w:val="005668DE"/>
    <w:rsid w:val="00574775"/>
    <w:rsid w:val="0057629D"/>
    <w:rsid w:val="00585522"/>
    <w:rsid w:val="005915B4"/>
    <w:rsid w:val="005932AF"/>
    <w:rsid w:val="00605EC8"/>
    <w:rsid w:val="0062721B"/>
    <w:rsid w:val="00635903"/>
    <w:rsid w:val="006403AE"/>
    <w:rsid w:val="00642CF1"/>
    <w:rsid w:val="00646750"/>
    <w:rsid w:val="00673B89"/>
    <w:rsid w:val="006836DF"/>
    <w:rsid w:val="00686B17"/>
    <w:rsid w:val="006912D7"/>
    <w:rsid w:val="006A5CD3"/>
    <w:rsid w:val="00706DD3"/>
    <w:rsid w:val="0071555A"/>
    <w:rsid w:val="007261C8"/>
    <w:rsid w:val="00731F69"/>
    <w:rsid w:val="00733F26"/>
    <w:rsid w:val="007910F8"/>
    <w:rsid w:val="00795DB2"/>
    <w:rsid w:val="007A08DC"/>
    <w:rsid w:val="007A4B8B"/>
    <w:rsid w:val="007E1ED5"/>
    <w:rsid w:val="007F00BD"/>
    <w:rsid w:val="007F3F58"/>
    <w:rsid w:val="007F456D"/>
    <w:rsid w:val="007F4CE1"/>
    <w:rsid w:val="008110C4"/>
    <w:rsid w:val="00811912"/>
    <w:rsid w:val="00816B74"/>
    <w:rsid w:val="008335F0"/>
    <w:rsid w:val="00846296"/>
    <w:rsid w:val="00855AB5"/>
    <w:rsid w:val="00870067"/>
    <w:rsid w:val="0089018C"/>
    <w:rsid w:val="00896905"/>
    <w:rsid w:val="008B15C8"/>
    <w:rsid w:val="008D1796"/>
    <w:rsid w:val="008F00BC"/>
    <w:rsid w:val="009005F2"/>
    <w:rsid w:val="0094679C"/>
    <w:rsid w:val="00983393"/>
    <w:rsid w:val="009A44C5"/>
    <w:rsid w:val="009A50EF"/>
    <w:rsid w:val="009A54FD"/>
    <w:rsid w:val="009C261A"/>
    <w:rsid w:val="009C3985"/>
    <w:rsid w:val="009C69B5"/>
    <w:rsid w:val="009E1171"/>
    <w:rsid w:val="00A02B3F"/>
    <w:rsid w:val="00A13100"/>
    <w:rsid w:val="00A44EF5"/>
    <w:rsid w:val="00A45138"/>
    <w:rsid w:val="00A539FB"/>
    <w:rsid w:val="00A66AD3"/>
    <w:rsid w:val="00A71159"/>
    <w:rsid w:val="00A7610C"/>
    <w:rsid w:val="00A85711"/>
    <w:rsid w:val="00AB5DF3"/>
    <w:rsid w:val="00AC5484"/>
    <w:rsid w:val="00AE3732"/>
    <w:rsid w:val="00AE4B2A"/>
    <w:rsid w:val="00AE76B0"/>
    <w:rsid w:val="00B0156C"/>
    <w:rsid w:val="00B01A7C"/>
    <w:rsid w:val="00B131B2"/>
    <w:rsid w:val="00B258EB"/>
    <w:rsid w:val="00B37623"/>
    <w:rsid w:val="00B52E39"/>
    <w:rsid w:val="00B53487"/>
    <w:rsid w:val="00B55C4F"/>
    <w:rsid w:val="00B5707E"/>
    <w:rsid w:val="00BA58F7"/>
    <w:rsid w:val="00BB358B"/>
    <w:rsid w:val="00BD1903"/>
    <w:rsid w:val="00BE36CD"/>
    <w:rsid w:val="00BF5AD1"/>
    <w:rsid w:val="00C01EF0"/>
    <w:rsid w:val="00C120C0"/>
    <w:rsid w:val="00C1362C"/>
    <w:rsid w:val="00C22F62"/>
    <w:rsid w:val="00C4391D"/>
    <w:rsid w:val="00C44933"/>
    <w:rsid w:val="00C458CD"/>
    <w:rsid w:val="00C46283"/>
    <w:rsid w:val="00C64D1F"/>
    <w:rsid w:val="00C70912"/>
    <w:rsid w:val="00C84934"/>
    <w:rsid w:val="00C87DAD"/>
    <w:rsid w:val="00CB1EBC"/>
    <w:rsid w:val="00CC5B51"/>
    <w:rsid w:val="00CD3C3A"/>
    <w:rsid w:val="00CF3BCE"/>
    <w:rsid w:val="00CF402F"/>
    <w:rsid w:val="00D11621"/>
    <w:rsid w:val="00D1260D"/>
    <w:rsid w:val="00D20423"/>
    <w:rsid w:val="00D574F5"/>
    <w:rsid w:val="00D72BCC"/>
    <w:rsid w:val="00D87B81"/>
    <w:rsid w:val="00DA25E9"/>
    <w:rsid w:val="00DD6650"/>
    <w:rsid w:val="00DE3EE4"/>
    <w:rsid w:val="00DF70A9"/>
    <w:rsid w:val="00E00E6D"/>
    <w:rsid w:val="00E22C0F"/>
    <w:rsid w:val="00E3330D"/>
    <w:rsid w:val="00E335BD"/>
    <w:rsid w:val="00E337C5"/>
    <w:rsid w:val="00E439A1"/>
    <w:rsid w:val="00E77769"/>
    <w:rsid w:val="00E8321A"/>
    <w:rsid w:val="00E863C3"/>
    <w:rsid w:val="00E91D95"/>
    <w:rsid w:val="00E95FC7"/>
    <w:rsid w:val="00E96E74"/>
    <w:rsid w:val="00E97CDD"/>
    <w:rsid w:val="00EA3F01"/>
    <w:rsid w:val="00EB2C27"/>
    <w:rsid w:val="00EC25B3"/>
    <w:rsid w:val="00ED3604"/>
    <w:rsid w:val="00EE320E"/>
    <w:rsid w:val="00EE5E86"/>
    <w:rsid w:val="00EF0C82"/>
    <w:rsid w:val="00F037DD"/>
    <w:rsid w:val="00F068CE"/>
    <w:rsid w:val="00F320C1"/>
    <w:rsid w:val="00F64B6C"/>
    <w:rsid w:val="00F6565E"/>
    <w:rsid w:val="00F72DE0"/>
    <w:rsid w:val="00F926AB"/>
    <w:rsid w:val="00FA5EF0"/>
    <w:rsid w:val="00FA64E0"/>
    <w:rsid w:val="00FA6CA5"/>
    <w:rsid w:val="00FA7978"/>
    <w:rsid w:val="00FB6BAC"/>
    <w:rsid w:val="00FC2F78"/>
    <w:rsid w:val="00FC6EE6"/>
    <w:rsid w:val="00FD07F3"/>
    <w:rsid w:val="00FE28C5"/>
    <w:rsid w:val="00FE2FB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1FA9F2"/>
  <w15:chartTrackingRefBased/>
  <w15:docId w15:val="{0F9BBB6E-3F7A-4488-B243-253B2465D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9A9"/>
    <w:pPr>
      <w:spacing w:after="200" w:line="276" w:lineRule="auto"/>
    </w:pPr>
    <w:rPr>
      <w:rFonts w:eastAsia="Times New Roman"/>
      <w:sz w:val="22"/>
      <w:szCs w:val="22"/>
    </w:rPr>
  </w:style>
  <w:style w:type="paragraph" w:styleId="Naslov1">
    <w:name w:val="heading 1"/>
    <w:basedOn w:val="Normal"/>
    <w:next w:val="Normal"/>
    <w:link w:val="Naslov1Char"/>
    <w:uiPriority w:val="9"/>
    <w:qFormat/>
    <w:rsid w:val="008335F0"/>
    <w:pPr>
      <w:keepNext/>
      <w:keepLines/>
      <w:spacing w:before="480" w:after="0"/>
      <w:jc w:val="center"/>
      <w:outlineLvl w:val="0"/>
    </w:pPr>
    <w:rPr>
      <w:rFonts w:ascii="Cambria" w:eastAsia="Calibri" w:hAnsi="Cambria"/>
      <w:b/>
      <w:bCs/>
      <w:color w:val="31849B"/>
      <w:sz w:val="28"/>
      <w:szCs w:val="28"/>
      <w:lang w:val="en-GB"/>
    </w:rPr>
  </w:style>
  <w:style w:type="paragraph" w:styleId="Naslov2">
    <w:name w:val="heading 2"/>
    <w:basedOn w:val="Naslov1"/>
    <w:next w:val="Normal"/>
    <w:link w:val="Naslov2Char"/>
    <w:uiPriority w:val="9"/>
    <w:unhideWhenUsed/>
    <w:qFormat/>
    <w:rsid w:val="004231BD"/>
    <w:pPr>
      <w:spacing w:before="200"/>
      <w:outlineLvl w:val="1"/>
    </w:pPr>
    <w:rPr>
      <w:b w:val="0"/>
      <w:bCs w:val="0"/>
      <w:color w:val="4BACC6"/>
      <w:sz w:val="26"/>
      <w:szCs w:val="26"/>
    </w:rPr>
  </w:style>
  <w:style w:type="paragraph" w:styleId="Naslov3">
    <w:name w:val="heading 3"/>
    <w:basedOn w:val="Normal"/>
    <w:next w:val="Normal"/>
    <w:link w:val="Naslov3Char"/>
    <w:uiPriority w:val="9"/>
    <w:unhideWhenUsed/>
    <w:qFormat/>
    <w:rsid w:val="004231BD"/>
    <w:pPr>
      <w:keepNext/>
      <w:keepLines/>
      <w:spacing w:before="200" w:after="0"/>
      <w:outlineLvl w:val="2"/>
    </w:pPr>
    <w:rPr>
      <w:rFonts w:ascii="Cambria" w:hAnsi="Cambria"/>
      <w:b/>
      <w:bCs/>
      <w:color w:val="92CDDC"/>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Svijetlipopis-Isticanje3">
    <w:name w:val="Light List Accent 3"/>
    <w:basedOn w:val="Obinatablica"/>
    <w:uiPriority w:val="61"/>
    <w:rsid w:val="00F6565E"/>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vijetlareetka-Isticanje3">
    <w:name w:val="Light Grid Accent 3"/>
    <w:basedOn w:val="Obinatablica"/>
    <w:uiPriority w:val="62"/>
    <w:rsid w:val="00F6565E"/>
    <w:rPr>
      <w:rFonts w:eastAsia="Times New Roman"/>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minorEastAsia" w:eastAsia="Times New Roman" w:hAnsi="minorEastAs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minorEastAsia" w:eastAsia="Times New Roman" w:hAnsi="minorEastAs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minorEastAsia" w:eastAsia="Times New Roman" w:hAnsi="minorEastAsia" w:cs="Times New Roman"/>
        <w:b/>
        <w:bCs/>
      </w:rPr>
    </w:tblStylePr>
    <w:tblStylePr w:type="lastCol">
      <w:rPr>
        <w:rFonts w:ascii="minorEastAsia" w:eastAsia="Times New Roman" w:hAnsi="minorEastAs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Zaglavlje">
    <w:name w:val="header"/>
    <w:basedOn w:val="Normal"/>
    <w:link w:val="ZaglavljeChar"/>
    <w:uiPriority w:val="99"/>
    <w:rsid w:val="00F6565E"/>
    <w:pPr>
      <w:tabs>
        <w:tab w:val="center" w:pos="4320"/>
        <w:tab w:val="right" w:pos="8640"/>
      </w:tabs>
      <w:spacing w:after="0" w:line="240" w:lineRule="auto"/>
    </w:pPr>
  </w:style>
  <w:style w:type="character" w:customStyle="1" w:styleId="ZaglavljeChar">
    <w:name w:val="Zaglavlje Char"/>
    <w:link w:val="Zaglavlje"/>
    <w:uiPriority w:val="99"/>
    <w:rsid w:val="00F6565E"/>
    <w:rPr>
      <w:rFonts w:eastAsia="Times New Roman"/>
      <w:lang w:eastAsia="el-GR"/>
    </w:rPr>
  </w:style>
  <w:style w:type="paragraph" w:styleId="Podnoje">
    <w:name w:val="footer"/>
    <w:basedOn w:val="Normal"/>
    <w:link w:val="PodnojeChar"/>
    <w:uiPriority w:val="99"/>
    <w:rsid w:val="00F6565E"/>
    <w:pPr>
      <w:tabs>
        <w:tab w:val="center" w:pos="4320"/>
        <w:tab w:val="right" w:pos="8640"/>
      </w:tabs>
      <w:spacing w:after="0" w:line="240" w:lineRule="auto"/>
    </w:pPr>
  </w:style>
  <w:style w:type="character" w:customStyle="1" w:styleId="PodnojeChar">
    <w:name w:val="Podnožje Char"/>
    <w:link w:val="Podnoje"/>
    <w:uiPriority w:val="99"/>
    <w:rsid w:val="00F6565E"/>
    <w:rPr>
      <w:rFonts w:eastAsia="Times New Roman"/>
      <w:lang w:eastAsia="el-GR"/>
    </w:rPr>
  </w:style>
  <w:style w:type="paragraph" w:styleId="Tekstbalonia">
    <w:name w:val="Balloon Text"/>
    <w:basedOn w:val="Normal"/>
    <w:link w:val="TekstbaloniaChar"/>
    <w:uiPriority w:val="99"/>
    <w:semiHidden/>
    <w:unhideWhenUsed/>
    <w:rsid w:val="00C458CD"/>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C458CD"/>
    <w:rPr>
      <w:rFonts w:ascii="Tahoma" w:eastAsia="Times New Roman" w:hAnsi="Tahoma" w:cs="Tahoma"/>
      <w:sz w:val="16"/>
      <w:szCs w:val="16"/>
      <w:lang w:eastAsia="el-GR"/>
    </w:rPr>
  </w:style>
  <w:style w:type="paragraph" w:styleId="Odlomakpopisa">
    <w:name w:val="List Paragraph"/>
    <w:basedOn w:val="Normal"/>
    <w:uiPriority w:val="34"/>
    <w:qFormat/>
    <w:rsid w:val="00C458CD"/>
    <w:pPr>
      <w:ind w:left="720"/>
      <w:contextualSpacing/>
    </w:pPr>
  </w:style>
  <w:style w:type="table" w:styleId="Reetkatablice">
    <w:name w:val="Table Grid"/>
    <w:basedOn w:val="Obinatablica"/>
    <w:uiPriority w:val="59"/>
    <w:rsid w:val="00691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Obinatablica"/>
    <w:next w:val="Reetkatablice"/>
    <w:uiPriority w:val="59"/>
    <w:rsid w:val="00791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link w:val="Naslov1"/>
    <w:uiPriority w:val="9"/>
    <w:rsid w:val="008335F0"/>
    <w:rPr>
      <w:rFonts w:ascii="Cambria" w:hAnsi="Cambria"/>
      <w:b/>
      <w:bCs/>
      <w:color w:val="31849B"/>
      <w:sz w:val="28"/>
      <w:szCs w:val="28"/>
      <w:lang w:val="en-GB"/>
    </w:rPr>
  </w:style>
  <w:style w:type="character" w:customStyle="1" w:styleId="Naslov2Char">
    <w:name w:val="Naslov 2 Char"/>
    <w:link w:val="Naslov2"/>
    <w:uiPriority w:val="9"/>
    <w:rsid w:val="004231BD"/>
    <w:rPr>
      <w:rFonts w:ascii="Cambria" w:eastAsia="Times New Roman" w:hAnsi="Cambria" w:cs="Times New Roman"/>
      <w:color w:val="4BACC6"/>
      <w:sz w:val="26"/>
      <w:szCs w:val="26"/>
      <w:lang w:val="en-GB" w:eastAsia="el-GR"/>
    </w:rPr>
  </w:style>
  <w:style w:type="character" w:customStyle="1" w:styleId="Naslov3Char">
    <w:name w:val="Naslov 3 Char"/>
    <w:link w:val="Naslov3"/>
    <w:uiPriority w:val="9"/>
    <w:rsid w:val="004231BD"/>
    <w:rPr>
      <w:rFonts w:ascii="Cambria" w:eastAsia="Times New Roman" w:hAnsi="Cambria" w:cs="Times New Roman"/>
      <w:b/>
      <w:bCs/>
      <w:color w:val="92CDDC"/>
      <w:lang w:eastAsia="el-GR"/>
    </w:rPr>
  </w:style>
  <w:style w:type="paragraph" w:styleId="Bezproreda">
    <w:name w:val="No Spacing"/>
    <w:link w:val="BezproredaChar"/>
    <w:uiPriority w:val="1"/>
    <w:qFormat/>
    <w:rsid w:val="00F72DE0"/>
    <w:rPr>
      <w:rFonts w:eastAsia="Times New Roman"/>
      <w:sz w:val="22"/>
      <w:szCs w:val="22"/>
      <w:lang w:val="en-US" w:eastAsia="ja-JP"/>
    </w:rPr>
  </w:style>
  <w:style w:type="character" w:customStyle="1" w:styleId="BezproredaChar">
    <w:name w:val="Bez proreda Char"/>
    <w:link w:val="Bezproreda"/>
    <w:uiPriority w:val="1"/>
    <w:rsid w:val="00F72DE0"/>
    <w:rPr>
      <w:rFonts w:eastAsia="Times New Roman"/>
      <w:lang w:val="en-US" w:eastAsia="ja-JP"/>
    </w:rPr>
  </w:style>
  <w:style w:type="character" w:styleId="Referencakomentara">
    <w:name w:val="annotation reference"/>
    <w:uiPriority w:val="99"/>
    <w:semiHidden/>
    <w:unhideWhenUsed/>
    <w:rsid w:val="00AB5DF3"/>
    <w:rPr>
      <w:sz w:val="16"/>
      <w:szCs w:val="16"/>
    </w:rPr>
  </w:style>
  <w:style w:type="paragraph" w:styleId="Tekstkomentara">
    <w:name w:val="annotation text"/>
    <w:basedOn w:val="Normal"/>
    <w:link w:val="TekstkomentaraChar"/>
    <w:uiPriority w:val="99"/>
    <w:semiHidden/>
    <w:unhideWhenUsed/>
    <w:rsid w:val="00AB5DF3"/>
    <w:pPr>
      <w:spacing w:line="240" w:lineRule="auto"/>
    </w:pPr>
    <w:rPr>
      <w:sz w:val="20"/>
      <w:szCs w:val="20"/>
    </w:rPr>
  </w:style>
  <w:style w:type="character" w:customStyle="1" w:styleId="TekstkomentaraChar">
    <w:name w:val="Tekst komentara Char"/>
    <w:link w:val="Tekstkomentara"/>
    <w:uiPriority w:val="99"/>
    <w:semiHidden/>
    <w:rsid w:val="00AB5DF3"/>
    <w:rPr>
      <w:rFonts w:eastAsia="Times New Roman"/>
      <w:sz w:val="20"/>
      <w:szCs w:val="20"/>
      <w:lang w:eastAsia="el-GR"/>
    </w:rPr>
  </w:style>
  <w:style w:type="paragraph" w:styleId="Predmetkomentara">
    <w:name w:val="annotation subject"/>
    <w:basedOn w:val="Tekstkomentara"/>
    <w:next w:val="Tekstkomentara"/>
    <w:link w:val="PredmetkomentaraChar"/>
    <w:uiPriority w:val="99"/>
    <w:semiHidden/>
    <w:unhideWhenUsed/>
    <w:rsid w:val="00AB5DF3"/>
    <w:rPr>
      <w:b/>
      <w:bCs/>
    </w:rPr>
  </w:style>
  <w:style w:type="character" w:customStyle="1" w:styleId="PredmetkomentaraChar">
    <w:name w:val="Predmet komentara Char"/>
    <w:link w:val="Predmetkomentara"/>
    <w:uiPriority w:val="99"/>
    <w:semiHidden/>
    <w:rsid w:val="00AB5DF3"/>
    <w:rPr>
      <w:rFonts w:eastAsia="Times New Roman"/>
      <w:b/>
      <w:bCs/>
      <w:sz w:val="20"/>
      <w:szCs w:val="20"/>
      <w:lang w:eastAsia="el-GR"/>
    </w:rPr>
  </w:style>
  <w:style w:type="paragraph" w:styleId="Naslov">
    <w:name w:val="Title"/>
    <w:basedOn w:val="Normal"/>
    <w:next w:val="Normal"/>
    <w:link w:val="NaslovChar"/>
    <w:uiPriority w:val="10"/>
    <w:qFormat/>
    <w:rsid w:val="00AE3732"/>
    <w:pPr>
      <w:spacing w:after="0" w:line="240" w:lineRule="auto"/>
      <w:contextualSpacing/>
    </w:pPr>
    <w:rPr>
      <w:rFonts w:ascii="Cambria" w:hAnsi="Cambria"/>
      <w:spacing w:val="-10"/>
      <w:kern w:val="28"/>
      <w:sz w:val="56"/>
      <w:szCs w:val="56"/>
    </w:rPr>
  </w:style>
  <w:style w:type="character" w:customStyle="1" w:styleId="NaslovChar">
    <w:name w:val="Naslov Char"/>
    <w:link w:val="Naslov"/>
    <w:uiPriority w:val="10"/>
    <w:rsid w:val="00AE3732"/>
    <w:rPr>
      <w:rFonts w:ascii="Cambria" w:eastAsia="Times New Roman" w:hAnsi="Cambria" w:cs="Times New Roman"/>
      <w:spacing w:val="-10"/>
      <w:kern w:val="28"/>
      <w:sz w:val="56"/>
      <w:szCs w:val="56"/>
      <w:lang w:eastAsia="el-GR"/>
    </w:rPr>
  </w:style>
  <w:style w:type="paragraph" w:styleId="Podnaslov">
    <w:name w:val="Subtitle"/>
    <w:basedOn w:val="Normal"/>
    <w:next w:val="Normal"/>
    <w:link w:val="PodnaslovChar"/>
    <w:uiPriority w:val="11"/>
    <w:qFormat/>
    <w:rsid w:val="00AE3732"/>
    <w:pPr>
      <w:numPr>
        <w:ilvl w:val="1"/>
      </w:numPr>
      <w:spacing w:after="160"/>
    </w:pPr>
    <w:rPr>
      <w:color w:val="5A5A5A"/>
      <w:spacing w:val="15"/>
    </w:rPr>
  </w:style>
  <w:style w:type="character" w:customStyle="1" w:styleId="PodnaslovChar">
    <w:name w:val="Podnaslov Char"/>
    <w:link w:val="Podnaslov"/>
    <w:uiPriority w:val="11"/>
    <w:rsid w:val="00AE3732"/>
    <w:rPr>
      <w:rFonts w:eastAsia="Times New Roman"/>
      <w:color w:val="5A5A5A"/>
      <w:spacing w:val="15"/>
      <w:lang w:eastAsia="el-GR"/>
    </w:rPr>
  </w:style>
  <w:style w:type="paragraph" w:customStyle="1" w:styleId="Bezproreda1">
    <w:name w:val="Bez proreda1"/>
    <w:uiPriority w:val="1"/>
    <w:qFormat/>
    <w:rsid w:val="00816B74"/>
    <w:pPr>
      <w:jc w:val="both"/>
    </w:pPr>
    <w:rPr>
      <w:sz w:val="22"/>
      <w:szCs w:val="22"/>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1772800">
      <w:bodyDiv w:val="1"/>
      <w:marLeft w:val="0"/>
      <w:marRight w:val="0"/>
      <w:marTop w:val="0"/>
      <w:marBottom w:val="0"/>
      <w:divBdr>
        <w:top w:val="none" w:sz="0" w:space="0" w:color="auto"/>
        <w:left w:val="none" w:sz="0" w:space="0" w:color="auto"/>
        <w:bottom w:val="none" w:sz="0" w:space="0" w:color="auto"/>
        <w:right w:val="none" w:sz="0" w:space="0" w:color="auto"/>
      </w:divBdr>
    </w:div>
    <w:div w:id="1914270723">
      <w:bodyDiv w:val="1"/>
      <w:marLeft w:val="0"/>
      <w:marRight w:val="0"/>
      <w:marTop w:val="0"/>
      <w:marBottom w:val="0"/>
      <w:divBdr>
        <w:top w:val="none" w:sz="0" w:space="0" w:color="auto"/>
        <w:left w:val="none" w:sz="0" w:space="0" w:color="auto"/>
        <w:bottom w:val="none" w:sz="0" w:space="0" w:color="auto"/>
        <w:right w:val="none" w:sz="0" w:space="0" w:color="auto"/>
      </w:divBdr>
      <w:divsChild>
        <w:div w:id="8991269">
          <w:marLeft w:val="1166"/>
          <w:marRight w:val="0"/>
          <w:marTop w:val="0"/>
          <w:marBottom w:val="0"/>
          <w:divBdr>
            <w:top w:val="none" w:sz="0" w:space="0" w:color="auto"/>
            <w:left w:val="none" w:sz="0" w:space="0" w:color="auto"/>
            <w:bottom w:val="none" w:sz="0" w:space="0" w:color="auto"/>
            <w:right w:val="none" w:sz="0" w:space="0" w:color="auto"/>
          </w:divBdr>
        </w:div>
        <w:div w:id="191967467">
          <w:marLeft w:val="1166"/>
          <w:marRight w:val="0"/>
          <w:marTop w:val="0"/>
          <w:marBottom w:val="0"/>
          <w:divBdr>
            <w:top w:val="none" w:sz="0" w:space="0" w:color="auto"/>
            <w:left w:val="none" w:sz="0" w:space="0" w:color="auto"/>
            <w:bottom w:val="none" w:sz="0" w:space="0" w:color="auto"/>
            <w:right w:val="none" w:sz="0" w:space="0" w:color="auto"/>
          </w:divBdr>
        </w:div>
        <w:div w:id="209196095">
          <w:marLeft w:val="547"/>
          <w:marRight w:val="0"/>
          <w:marTop w:val="0"/>
          <w:marBottom w:val="0"/>
          <w:divBdr>
            <w:top w:val="none" w:sz="0" w:space="0" w:color="auto"/>
            <w:left w:val="none" w:sz="0" w:space="0" w:color="auto"/>
            <w:bottom w:val="none" w:sz="0" w:space="0" w:color="auto"/>
            <w:right w:val="none" w:sz="0" w:space="0" w:color="auto"/>
          </w:divBdr>
        </w:div>
        <w:div w:id="248345568">
          <w:marLeft w:val="1166"/>
          <w:marRight w:val="0"/>
          <w:marTop w:val="0"/>
          <w:marBottom w:val="0"/>
          <w:divBdr>
            <w:top w:val="none" w:sz="0" w:space="0" w:color="auto"/>
            <w:left w:val="none" w:sz="0" w:space="0" w:color="auto"/>
            <w:bottom w:val="none" w:sz="0" w:space="0" w:color="auto"/>
            <w:right w:val="none" w:sz="0" w:space="0" w:color="auto"/>
          </w:divBdr>
        </w:div>
        <w:div w:id="424351392">
          <w:marLeft w:val="1166"/>
          <w:marRight w:val="0"/>
          <w:marTop w:val="0"/>
          <w:marBottom w:val="0"/>
          <w:divBdr>
            <w:top w:val="none" w:sz="0" w:space="0" w:color="auto"/>
            <w:left w:val="none" w:sz="0" w:space="0" w:color="auto"/>
            <w:bottom w:val="none" w:sz="0" w:space="0" w:color="auto"/>
            <w:right w:val="none" w:sz="0" w:space="0" w:color="auto"/>
          </w:divBdr>
        </w:div>
        <w:div w:id="433017391">
          <w:marLeft w:val="1166"/>
          <w:marRight w:val="0"/>
          <w:marTop w:val="0"/>
          <w:marBottom w:val="0"/>
          <w:divBdr>
            <w:top w:val="none" w:sz="0" w:space="0" w:color="auto"/>
            <w:left w:val="none" w:sz="0" w:space="0" w:color="auto"/>
            <w:bottom w:val="none" w:sz="0" w:space="0" w:color="auto"/>
            <w:right w:val="none" w:sz="0" w:space="0" w:color="auto"/>
          </w:divBdr>
        </w:div>
        <w:div w:id="448940612">
          <w:marLeft w:val="1166"/>
          <w:marRight w:val="0"/>
          <w:marTop w:val="0"/>
          <w:marBottom w:val="0"/>
          <w:divBdr>
            <w:top w:val="none" w:sz="0" w:space="0" w:color="auto"/>
            <w:left w:val="none" w:sz="0" w:space="0" w:color="auto"/>
            <w:bottom w:val="none" w:sz="0" w:space="0" w:color="auto"/>
            <w:right w:val="none" w:sz="0" w:space="0" w:color="auto"/>
          </w:divBdr>
        </w:div>
        <w:div w:id="540173363">
          <w:marLeft w:val="547"/>
          <w:marRight w:val="0"/>
          <w:marTop w:val="0"/>
          <w:marBottom w:val="0"/>
          <w:divBdr>
            <w:top w:val="none" w:sz="0" w:space="0" w:color="auto"/>
            <w:left w:val="none" w:sz="0" w:space="0" w:color="auto"/>
            <w:bottom w:val="none" w:sz="0" w:space="0" w:color="auto"/>
            <w:right w:val="none" w:sz="0" w:space="0" w:color="auto"/>
          </w:divBdr>
        </w:div>
        <w:div w:id="557206879">
          <w:marLeft w:val="1166"/>
          <w:marRight w:val="0"/>
          <w:marTop w:val="0"/>
          <w:marBottom w:val="0"/>
          <w:divBdr>
            <w:top w:val="none" w:sz="0" w:space="0" w:color="auto"/>
            <w:left w:val="none" w:sz="0" w:space="0" w:color="auto"/>
            <w:bottom w:val="none" w:sz="0" w:space="0" w:color="auto"/>
            <w:right w:val="none" w:sz="0" w:space="0" w:color="auto"/>
          </w:divBdr>
        </w:div>
        <w:div w:id="834346828">
          <w:marLeft w:val="1166"/>
          <w:marRight w:val="0"/>
          <w:marTop w:val="0"/>
          <w:marBottom w:val="0"/>
          <w:divBdr>
            <w:top w:val="none" w:sz="0" w:space="0" w:color="auto"/>
            <w:left w:val="none" w:sz="0" w:space="0" w:color="auto"/>
            <w:bottom w:val="none" w:sz="0" w:space="0" w:color="auto"/>
            <w:right w:val="none" w:sz="0" w:space="0" w:color="auto"/>
          </w:divBdr>
        </w:div>
        <w:div w:id="1087848459">
          <w:marLeft w:val="1166"/>
          <w:marRight w:val="0"/>
          <w:marTop w:val="0"/>
          <w:marBottom w:val="0"/>
          <w:divBdr>
            <w:top w:val="none" w:sz="0" w:space="0" w:color="auto"/>
            <w:left w:val="none" w:sz="0" w:space="0" w:color="auto"/>
            <w:bottom w:val="none" w:sz="0" w:space="0" w:color="auto"/>
            <w:right w:val="none" w:sz="0" w:space="0" w:color="auto"/>
          </w:divBdr>
        </w:div>
        <w:div w:id="1260672629">
          <w:marLeft w:val="1166"/>
          <w:marRight w:val="0"/>
          <w:marTop w:val="0"/>
          <w:marBottom w:val="0"/>
          <w:divBdr>
            <w:top w:val="none" w:sz="0" w:space="0" w:color="auto"/>
            <w:left w:val="none" w:sz="0" w:space="0" w:color="auto"/>
            <w:bottom w:val="none" w:sz="0" w:space="0" w:color="auto"/>
            <w:right w:val="none" w:sz="0" w:space="0" w:color="auto"/>
          </w:divBdr>
        </w:div>
        <w:div w:id="1366563854">
          <w:marLeft w:val="547"/>
          <w:marRight w:val="0"/>
          <w:marTop w:val="0"/>
          <w:marBottom w:val="0"/>
          <w:divBdr>
            <w:top w:val="none" w:sz="0" w:space="0" w:color="auto"/>
            <w:left w:val="none" w:sz="0" w:space="0" w:color="auto"/>
            <w:bottom w:val="none" w:sz="0" w:space="0" w:color="auto"/>
            <w:right w:val="none" w:sz="0" w:space="0" w:color="auto"/>
          </w:divBdr>
        </w:div>
        <w:div w:id="1467432559">
          <w:marLeft w:val="1166"/>
          <w:marRight w:val="0"/>
          <w:marTop w:val="0"/>
          <w:marBottom w:val="0"/>
          <w:divBdr>
            <w:top w:val="none" w:sz="0" w:space="0" w:color="auto"/>
            <w:left w:val="none" w:sz="0" w:space="0" w:color="auto"/>
            <w:bottom w:val="none" w:sz="0" w:space="0" w:color="auto"/>
            <w:right w:val="none" w:sz="0" w:space="0" w:color="auto"/>
          </w:divBdr>
        </w:div>
        <w:div w:id="1541161814">
          <w:marLeft w:val="1166"/>
          <w:marRight w:val="0"/>
          <w:marTop w:val="0"/>
          <w:marBottom w:val="0"/>
          <w:divBdr>
            <w:top w:val="none" w:sz="0" w:space="0" w:color="auto"/>
            <w:left w:val="none" w:sz="0" w:space="0" w:color="auto"/>
            <w:bottom w:val="none" w:sz="0" w:space="0" w:color="auto"/>
            <w:right w:val="none" w:sz="0" w:space="0" w:color="auto"/>
          </w:divBdr>
        </w:div>
        <w:div w:id="1619675450">
          <w:marLeft w:val="1166"/>
          <w:marRight w:val="0"/>
          <w:marTop w:val="0"/>
          <w:marBottom w:val="0"/>
          <w:divBdr>
            <w:top w:val="none" w:sz="0" w:space="0" w:color="auto"/>
            <w:left w:val="none" w:sz="0" w:space="0" w:color="auto"/>
            <w:bottom w:val="none" w:sz="0" w:space="0" w:color="auto"/>
            <w:right w:val="none" w:sz="0" w:space="0" w:color="auto"/>
          </w:divBdr>
        </w:div>
        <w:div w:id="1651908796">
          <w:marLeft w:val="547"/>
          <w:marRight w:val="0"/>
          <w:marTop w:val="0"/>
          <w:marBottom w:val="0"/>
          <w:divBdr>
            <w:top w:val="none" w:sz="0" w:space="0" w:color="auto"/>
            <w:left w:val="none" w:sz="0" w:space="0" w:color="auto"/>
            <w:bottom w:val="none" w:sz="0" w:space="0" w:color="auto"/>
            <w:right w:val="none" w:sz="0" w:space="0" w:color="auto"/>
          </w:divBdr>
        </w:div>
        <w:div w:id="2004507573">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diagramLayout" Target="diagrams/layout1.xml"/><Relationship Id="rId34"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chart" Target="charts/chart1.xml"/><Relationship Id="rId33" Type="http://schemas.openxmlformats.org/officeDocument/2006/relationships/image" Target="media/image6.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diagramData" Target="diagrams/data1.xml"/><Relationship Id="rId29"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07/relationships/diagramDrawing" Target="diagrams/drawing1.xml"/><Relationship Id="rId32" Type="http://schemas.openxmlformats.org/officeDocument/2006/relationships/image" Target="media/image5.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diagramColors" Target="diagrams/colors1.xml"/><Relationship Id="rId28" Type="http://schemas.openxmlformats.org/officeDocument/2006/relationships/chart" Target="charts/chart4.xml"/><Relationship Id="rId36" Type="http://schemas.openxmlformats.org/officeDocument/2006/relationships/chart" Target="charts/chart6.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diagramQuickStyle" Target="diagrams/quickStyle1.xml"/><Relationship Id="rId27" Type="http://schemas.openxmlformats.org/officeDocument/2006/relationships/chart" Target="charts/chart3.xml"/><Relationship Id="rId30" Type="http://schemas.openxmlformats.org/officeDocument/2006/relationships/header" Target="header5.xml"/><Relationship Id="rId35"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in\Dropbox\Share\Dusko%20-%20Teo%20-%20Vedran\SEAP_SECAP\SEAP_SECAP%20-%20Excel%20templates%20and%20executive%20summary\SECAP_Template_EN_Vodnjan-Dignano_v2.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in\Dropbox\Share\Dusko%20-%20Teo%20-%20Vedran\SEAP_SECAP\SEAP_SECAP%20-%20Excel%20templates%20and%20executive%20summary\SECAP_Template_EN_Vodnjan-Dignano_v2.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in\Dropbox\Share\Dusko%20-%20Teo%20-%20Vedran\SEAP_SECAP\SEAP_SECAP%20-%20Excel%20templates%20and%20executive%20summary\SECAP_Template_EN_Vodnjan-Dignano_v2.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in\Dropbox\Share\Dusko%20-%20Teo%20-%20Vedran\SEAP_SECAP\SEAP_SECAP%20-%20Excel%20templates%20and%20executive%20summary\SECAP_Template_EN_Vodnjan-Dignano_v2.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in\Dropbox\Share\Dusko%20-%20Teo%20-%20Vedran\SEAP_SECAP\SEAP_SECAP%20-%20Excel%20templates%20and%20executive%20summary\SECAP_Template_EN_Vodnjan-Dignano_v2.xls" TargetMode="External"/></Relationships>
</file>

<file path=word/charts/_rels/chart6.xml.rels><?xml version="1.0" encoding="UTF-8" standalone="yes"?>
<Relationships xmlns="http://schemas.openxmlformats.org/package/2006/relationships"><Relationship Id="rId3" Type="http://schemas.openxmlformats.org/officeDocument/2006/relationships/oleObject" Target="file:///C:\Users\Admin\Dropbox\Share\Dusko%20-%20Teo%20-%20Vedran\SEAP_SECAP\SEAP%20Vodnjan%20MEI%20-%20zgradarstvo,%20JR,%20promet_v4.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'Monitoring Report'!$L$16</c:f>
              <c:strCache>
                <c:ptCount val="1"/>
                <c:pt idx="0">
                  <c:v>Completed</c:v>
                </c:pt>
              </c:strCache>
            </c:strRef>
          </c:tx>
          <c:spPr>
            <a:solidFill>
              <a:srgbClr val="006AB3"/>
            </a:solidFill>
            <a:ln w="25400">
              <a:noFill/>
            </a:ln>
          </c:spPr>
          <c:invertIfNegative val="0"/>
          <c:cat>
            <c:strRef>
              <c:f>'Monitoring Report'!$M$15:$U$15</c:f>
              <c:strCache>
                <c:ptCount val="9"/>
                <c:pt idx="0">
                  <c:v>Municipal</c:v>
                </c:pt>
                <c:pt idx="1">
                  <c:v>Tertiary</c:v>
                </c:pt>
                <c:pt idx="2">
                  <c:v>Residential</c:v>
                </c:pt>
                <c:pt idx="3">
                  <c:v>Public lighting</c:v>
                </c:pt>
                <c:pt idx="4">
                  <c:v>Industry</c:v>
                </c:pt>
                <c:pt idx="5">
                  <c:v>Transport</c:v>
                </c:pt>
                <c:pt idx="6">
                  <c:v>Local electricity </c:v>
                </c:pt>
                <c:pt idx="7">
                  <c:v>Local heat/hold</c:v>
                </c:pt>
                <c:pt idx="8">
                  <c:v>Others</c:v>
                </c:pt>
              </c:strCache>
            </c:strRef>
          </c:cat>
          <c:val>
            <c:numRef>
              <c:f>'Monitoring Report'!$M$16:$U$16</c:f>
              <c:numCache>
                <c:formatCode>General</c:formatCode>
                <c:ptCount val="9"/>
                <c:pt idx="0">
                  <c:v>0</c:v>
                </c:pt>
                <c:pt idx="1">
                  <c:v>0</c:v>
                </c:pt>
                <c:pt idx="2">
                  <c:v>0</c:v>
                </c:pt>
                <c:pt idx="3">
                  <c:v>0</c:v>
                </c:pt>
                <c:pt idx="4">
                  <c:v>0</c:v>
                </c:pt>
                <c:pt idx="5">
                  <c:v>0</c:v>
                </c:pt>
                <c:pt idx="6">
                  <c:v>0</c:v>
                </c:pt>
                <c:pt idx="7">
                  <c:v>0</c:v>
                </c:pt>
                <c:pt idx="8">
                  <c:v>0</c:v>
                </c:pt>
              </c:numCache>
            </c:numRef>
          </c:val>
          <c:extLst>
            <c:ext xmlns:c16="http://schemas.microsoft.com/office/drawing/2014/chart" uri="{C3380CC4-5D6E-409C-BE32-E72D297353CC}">
              <c16:uniqueId val="{00000000-B2C2-4DA9-A37D-9F0B8BD0BCDB}"/>
            </c:ext>
          </c:extLst>
        </c:ser>
        <c:ser>
          <c:idx val="1"/>
          <c:order val="1"/>
          <c:tx>
            <c:strRef>
              <c:f>'Monitoring Report'!$L$17</c:f>
              <c:strCache>
                <c:ptCount val="1"/>
                <c:pt idx="0">
                  <c:v>Ongoing</c:v>
                </c:pt>
              </c:strCache>
            </c:strRef>
          </c:tx>
          <c:spPr>
            <a:solidFill>
              <a:srgbClr val="FFD500"/>
            </a:solidFill>
            <a:ln w="25400">
              <a:noFill/>
            </a:ln>
          </c:spPr>
          <c:invertIfNegative val="0"/>
          <c:cat>
            <c:strRef>
              <c:f>'Monitoring Report'!$M$15:$U$15</c:f>
              <c:strCache>
                <c:ptCount val="9"/>
                <c:pt idx="0">
                  <c:v>Municipal</c:v>
                </c:pt>
                <c:pt idx="1">
                  <c:v>Tertiary</c:v>
                </c:pt>
                <c:pt idx="2">
                  <c:v>Residential</c:v>
                </c:pt>
                <c:pt idx="3">
                  <c:v>Public lighting</c:v>
                </c:pt>
                <c:pt idx="4">
                  <c:v>Industry</c:v>
                </c:pt>
                <c:pt idx="5">
                  <c:v>Transport</c:v>
                </c:pt>
                <c:pt idx="6">
                  <c:v>Local electricity </c:v>
                </c:pt>
                <c:pt idx="7">
                  <c:v>Local heat/hold</c:v>
                </c:pt>
                <c:pt idx="8">
                  <c:v>Others</c:v>
                </c:pt>
              </c:strCache>
            </c:strRef>
          </c:cat>
          <c:val>
            <c:numRef>
              <c:f>'Monitoring Report'!$M$17:$U$17</c:f>
              <c:numCache>
                <c:formatCode>General</c:formatCode>
                <c:ptCount val="9"/>
                <c:pt idx="0">
                  <c:v>7</c:v>
                </c:pt>
                <c:pt idx="1">
                  <c:v>3</c:v>
                </c:pt>
                <c:pt idx="2">
                  <c:v>6</c:v>
                </c:pt>
                <c:pt idx="3">
                  <c:v>1</c:v>
                </c:pt>
                <c:pt idx="4">
                  <c:v>0</c:v>
                </c:pt>
                <c:pt idx="5">
                  <c:v>1</c:v>
                </c:pt>
                <c:pt idx="6">
                  <c:v>0</c:v>
                </c:pt>
                <c:pt idx="7">
                  <c:v>0</c:v>
                </c:pt>
                <c:pt idx="8">
                  <c:v>0</c:v>
                </c:pt>
              </c:numCache>
            </c:numRef>
          </c:val>
          <c:extLst>
            <c:ext xmlns:c16="http://schemas.microsoft.com/office/drawing/2014/chart" uri="{C3380CC4-5D6E-409C-BE32-E72D297353CC}">
              <c16:uniqueId val="{00000001-B2C2-4DA9-A37D-9F0B8BD0BCDB}"/>
            </c:ext>
          </c:extLst>
        </c:ser>
        <c:ser>
          <c:idx val="2"/>
          <c:order val="2"/>
          <c:tx>
            <c:strRef>
              <c:f>'Monitoring Report'!$L$18</c:f>
              <c:strCache>
                <c:ptCount val="1"/>
                <c:pt idx="0">
                  <c:v>Not started</c:v>
                </c:pt>
              </c:strCache>
            </c:strRef>
          </c:tx>
          <c:spPr>
            <a:solidFill>
              <a:srgbClr val="DFDFDF"/>
            </a:solidFill>
            <a:ln w="25400">
              <a:noFill/>
            </a:ln>
          </c:spPr>
          <c:invertIfNegative val="0"/>
          <c:cat>
            <c:strRef>
              <c:f>'Monitoring Report'!$M$15:$U$15</c:f>
              <c:strCache>
                <c:ptCount val="9"/>
                <c:pt idx="0">
                  <c:v>Municipal</c:v>
                </c:pt>
                <c:pt idx="1">
                  <c:v>Tertiary</c:v>
                </c:pt>
                <c:pt idx="2">
                  <c:v>Residential</c:v>
                </c:pt>
                <c:pt idx="3">
                  <c:v>Public lighting</c:v>
                </c:pt>
                <c:pt idx="4">
                  <c:v>Industry</c:v>
                </c:pt>
                <c:pt idx="5">
                  <c:v>Transport</c:v>
                </c:pt>
                <c:pt idx="6">
                  <c:v>Local electricity </c:v>
                </c:pt>
                <c:pt idx="7">
                  <c:v>Local heat/hold</c:v>
                </c:pt>
                <c:pt idx="8">
                  <c:v>Others</c:v>
                </c:pt>
              </c:strCache>
            </c:strRef>
          </c:cat>
          <c:val>
            <c:numRef>
              <c:f>'Monitoring Report'!$M$18:$U$18</c:f>
              <c:numCache>
                <c:formatCode>General</c:formatCode>
                <c:ptCount val="9"/>
                <c:pt idx="0">
                  <c:v>0</c:v>
                </c:pt>
                <c:pt idx="1">
                  <c:v>0</c:v>
                </c:pt>
                <c:pt idx="2">
                  <c:v>0</c:v>
                </c:pt>
                <c:pt idx="3">
                  <c:v>0</c:v>
                </c:pt>
                <c:pt idx="4">
                  <c:v>0</c:v>
                </c:pt>
                <c:pt idx="5">
                  <c:v>7</c:v>
                </c:pt>
                <c:pt idx="6">
                  <c:v>0</c:v>
                </c:pt>
                <c:pt idx="7">
                  <c:v>0</c:v>
                </c:pt>
                <c:pt idx="8">
                  <c:v>0</c:v>
                </c:pt>
              </c:numCache>
            </c:numRef>
          </c:val>
          <c:extLst>
            <c:ext xmlns:c16="http://schemas.microsoft.com/office/drawing/2014/chart" uri="{C3380CC4-5D6E-409C-BE32-E72D297353CC}">
              <c16:uniqueId val="{00000002-B2C2-4DA9-A37D-9F0B8BD0BCDB}"/>
            </c:ext>
          </c:extLst>
        </c:ser>
        <c:dLbls>
          <c:showLegendKey val="0"/>
          <c:showVal val="0"/>
          <c:showCatName val="0"/>
          <c:showSerName val="0"/>
          <c:showPercent val="0"/>
          <c:showBubbleSize val="0"/>
        </c:dLbls>
        <c:gapWidth val="150"/>
        <c:overlap val="100"/>
        <c:axId val="381697936"/>
        <c:axId val="1"/>
      </c:barChart>
      <c:catAx>
        <c:axId val="381697936"/>
        <c:scaling>
          <c:orientation val="minMax"/>
        </c:scaling>
        <c:delete val="0"/>
        <c:axPos val="l"/>
        <c:numFmt formatCode="General" sourceLinked="0"/>
        <c:majorTickMark val="out"/>
        <c:minorTickMark val="none"/>
        <c:tickLblPos val="nextTo"/>
        <c:spPr>
          <a:ln w="3175">
            <a:solidFill>
              <a:srgbClr val="808080"/>
            </a:solidFill>
            <a:prstDash val="solid"/>
          </a:ln>
        </c:spPr>
        <c:txPr>
          <a:bodyPr rot="0" vert="horz"/>
          <a:lstStyle/>
          <a:p>
            <a:pPr>
              <a:defRPr sz="900" b="0" i="0" u="none" strike="noStrike" baseline="0">
                <a:solidFill>
                  <a:srgbClr val="003300"/>
                </a:solidFill>
                <a:latin typeface="Arial"/>
                <a:ea typeface="Arial"/>
                <a:cs typeface="Arial"/>
              </a:defRPr>
            </a:pPr>
            <a:endParaRPr lang="sr-Latn-RS"/>
          </a:p>
        </c:txPr>
        <c:crossAx val="1"/>
        <c:crosses val="autoZero"/>
        <c:auto val="1"/>
        <c:lblAlgn val="ctr"/>
        <c:lblOffset val="100"/>
        <c:noMultiLvlLbl val="0"/>
      </c:catAx>
      <c:valAx>
        <c:axId val="1"/>
        <c:scaling>
          <c:orientation val="minMax"/>
        </c:scaling>
        <c:delete val="0"/>
        <c:axPos val="b"/>
        <c:numFmt formatCode="0%" sourceLinked="0"/>
        <c:majorTickMark val="out"/>
        <c:minorTickMark val="none"/>
        <c:tickLblPos val="nextTo"/>
        <c:spPr>
          <a:ln w="3175">
            <a:solidFill>
              <a:srgbClr val="808080"/>
            </a:solidFill>
            <a:prstDash val="solid"/>
          </a:ln>
        </c:spPr>
        <c:txPr>
          <a:bodyPr rot="0" vert="horz"/>
          <a:lstStyle/>
          <a:p>
            <a:pPr>
              <a:defRPr sz="900" b="0" i="0" u="none" strike="noStrike" baseline="0">
                <a:solidFill>
                  <a:srgbClr val="003300"/>
                </a:solidFill>
                <a:latin typeface="Arial"/>
                <a:ea typeface="Arial"/>
                <a:cs typeface="Arial"/>
              </a:defRPr>
            </a:pPr>
            <a:endParaRPr lang="sr-Latn-RS"/>
          </a:p>
        </c:txPr>
        <c:crossAx val="381697936"/>
        <c:crosses val="autoZero"/>
        <c:crossBetween val="between"/>
      </c:valAx>
      <c:spPr>
        <a:noFill/>
        <a:ln w="25400">
          <a:noFill/>
        </a:ln>
      </c:spPr>
    </c:plotArea>
    <c:legend>
      <c:legendPos val="r"/>
      <c:layout>
        <c:manualLayout>
          <c:xMode val="edge"/>
          <c:yMode val="edge"/>
          <c:x val="0.80730404691547064"/>
          <c:y val="0.25926767384402039"/>
          <c:w val="0.14825282998447709"/>
          <c:h val="0.25397649682679552"/>
        </c:manualLayout>
      </c:layout>
      <c:overlay val="0"/>
      <c:spPr>
        <a:noFill/>
        <a:ln w="25400">
          <a:noFill/>
        </a:ln>
      </c:spPr>
      <c:txPr>
        <a:bodyPr/>
        <a:lstStyle/>
        <a:p>
          <a:pPr>
            <a:defRPr sz="690" b="0" i="0" u="none" strike="noStrike" baseline="0">
              <a:solidFill>
                <a:srgbClr val="003300"/>
              </a:solidFill>
              <a:latin typeface="Arial"/>
              <a:ea typeface="Arial"/>
              <a:cs typeface="Arial"/>
            </a:defRPr>
          </a:pPr>
          <a:endParaRPr lang="sr-Latn-RS"/>
        </a:p>
      </c:txPr>
    </c:legend>
    <c:plotVisOnly val="1"/>
    <c:dispBlanksAs val="gap"/>
    <c:showDLblsOverMax val="0"/>
  </c:chart>
  <c:spPr>
    <a:solidFill>
      <a:srgbClr val="FFFFFF"/>
    </a:solidFill>
    <a:ln w="12700">
      <a:solidFill>
        <a:srgbClr val="99CC00"/>
      </a:solidFill>
      <a:prstDash val="lgDash"/>
    </a:ln>
  </c:spPr>
  <c:txPr>
    <a:bodyPr/>
    <a:lstStyle/>
    <a:p>
      <a:pPr>
        <a:defRPr sz="1000" b="0" i="0" u="none" strike="noStrike" baseline="0">
          <a:solidFill>
            <a:srgbClr val="003300"/>
          </a:solidFill>
          <a:latin typeface="Arial"/>
          <a:ea typeface="Arial"/>
          <a:cs typeface="Arial"/>
        </a:defRPr>
      </a:pPr>
      <a:endParaRPr lang="sr-Latn-R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percentStacked"/>
        <c:varyColors val="0"/>
        <c:ser>
          <c:idx val="0"/>
          <c:order val="0"/>
          <c:tx>
            <c:strRef>
              <c:f>'Monitoring Report'!$L$32</c:f>
              <c:strCache>
                <c:ptCount val="1"/>
                <c:pt idx="0">
                  <c:v>Spent</c:v>
                </c:pt>
              </c:strCache>
            </c:strRef>
          </c:tx>
          <c:spPr>
            <a:solidFill>
              <a:srgbClr val="006AB3"/>
            </a:solidFill>
            <a:ln w="25400">
              <a:noFill/>
            </a:ln>
          </c:spPr>
          <c:invertIfNegative val="0"/>
          <c:cat>
            <c:strLit>
              <c:ptCount val="1"/>
              <c:pt idx="0">
                <c:v>Budget</c:v>
              </c:pt>
            </c:strLit>
          </c:cat>
          <c:val>
            <c:numRef>
              <c:f>'Monitoring Report'!$M$32</c:f>
              <c:numCache>
                <c:formatCode>0</c:formatCode>
                <c:ptCount val="1"/>
                <c:pt idx="0">
                  <c:v>0</c:v>
                </c:pt>
              </c:numCache>
            </c:numRef>
          </c:val>
          <c:extLst>
            <c:ext xmlns:c16="http://schemas.microsoft.com/office/drawing/2014/chart" uri="{C3380CC4-5D6E-409C-BE32-E72D297353CC}">
              <c16:uniqueId val="{00000000-8982-4FAC-91DA-101CE8EF26AB}"/>
            </c:ext>
          </c:extLst>
        </c:ser>
        <c:ser>
          <c:idx val="1"/>
          <c:order val="1"/>
          <c:tx>
            <c:v>Overall foreseen budget</c:v>
          </c:tx>
          <c:spPr>
            <a:solidFill>
              <a:srgbClr val="003068"/>
            </a:solidFill>
            <a:ln w="25400">
              <a:noFill/>
            </a:ln>
          </c:spPr>
          <c:invertIfNegative val="0"/>
          <c:cat>
            <c:strLit>
              <c:ptCount val="1"/>
              <c:pt idx="0">
                <c:v>Budget</c:v>
              </c:pt>
            </c:strLit>
          </c:cat>
          <c:val>
            <c:numRef>
              <c:f>'Monitoring Report'!$M$33</c:f>
              <c:numCache>
                <c:formatCode>0</c:formatCode>
                <c:ptCount val="1"/>
                <c:pt idx="0">
                  <c:v>604000</c:v>
                </c:pt>
              </c:numCache>
            </c:numRef>
          </c:val>
          <c:extLst>
            <c:ext xmlns:c16="http://schemas.microsoft.com/office/drawing/2014/chart" uri="{C3380CC4-5D6E-409C-BE32-E72D297353CC}">
              <c16:uniqueId val="{00000001-8982-4FAC-91DA-101CE8EF26AB}"/>
            </c:ext>
          </c:extLst>
        </c:ser>
        <c:dLbls>
          <c:showLegendKey val="0"/>
          <c:showVal val="0"/>
          <c:showCatName val="0"/>
          <c:showSerName val="0"/>
          <c:showPercent val="0"/>
          <c:showBubbleSize val="0"/>
        </c:dLbls>
        <c:gapWidth val="150"/>
        <c:overlap val="100"/>
        <c:axId val="381685872"/>
        <c:axId val="1"/>
      </c:barChart>
      <c:catAx>
        <c:axId val="381685872"/>
        <c:scaling>
          <c:orientation val="minMax"/>
        </c:scaling>
        <c:delete val="0"/>
        <c:axPos val="l"/>
        <c:numFmt formatCode="General" sourceLinked="0"/>
        <c:majorTickMark val="out"/>
        <c:minorTickMark val="none"/>
        <c:tickLblPos val="nextTo"/>
        <c:spPr>
          <a:ln w="3175">
            <a:solidFill>
              <a:srgbClr val="808080"/>
            </a:solidFill>
            <a:prstDash val="solid"/>
          </a:ln>
        </c:spPr>
        <c:txPr>
          <a:bodyPr rot="0" vert="horz"/>
          <a:lstStyle/>
          <a:p>
            <a:pPr>
              <a:defRPr sz="900" b="0" i="0" u="none" strike="noStrike" baseline="0">
                <a:solidFill>
                  <a:srgbClr val="003300"/>
                </a:solidFill>
                <a:latin typeface="Arial"/>
                <a:ea typeface="Arial"/>
                <a:cs typeface="Arial"/>
              </a:defRPr>
            </a:pPr>
            <a:endParaRPr lang="sr-Latn-RS"/>
          </a:p>
        </c:txPr>
        <c:crossAx val="1"/>
        <c:crosses val="autoZero"/>
        <c:auto val="1"/>
        <c:lblAlgn val="ctr"/>
        <c:lblOffset val="100"/>
        <c:noMultiLvlLbl val="0"/>
      </c:catAx>
      <c:valAx>
        <c:axId val="1"/>
        <c:scaling>
          <c:orientation val="minMax"/>
        </c:scaling>
        <c:delete val="0"/>
        <c:axPos val="b"/>
        <c:numFmt formatCode="0%" sourceLinked="0"/>
        <c:majorTickMark val="out"/>
        <c:minorTickMark val="none"/>
        <c:tickLblPos val="nextTo"/>
        <c:spPr>
          <a:ln w="3175">
            <a:solidFill>
              <a:srgbClr val="808080"/>
            </a:solidFill>
            <a:prstDash val="solid"/>
          </a:ln>
        </c:spPr>
        <c:txPr>
          <a:bodyPr rot="0" vert="horz"/>
          <a:lstStyle/>
          <a:p>
            <a:pPr>
              <a:defRPr sz="900" b="0" i="0" u="none" strike="noStrike" baseline="0">
                <a:solidFill>
                  <a:srgbClr val="003300"/>
                </a:solidFill>
                <a:latin typeface="Arial"/>
                <a:ea typeface="Arial"/>
                <a:cs typeface="Arial"/>
              </a:defRPr>
            </a:pPr>
            <a:endParaRPr lang="sr-Latn-RS"/>
          </a:p>
        </c:txPr>
        <c:crossAx val="381685872"/>
        <c:crosses val="autoZero"/>
        <c:crossBetween val="between"/>
      </c:valAx>
      <c:spPr>
        <a:solidFill>
          <a:srgbClr val="FFFFFF"/>
        </a:solidFill>
        <a:ln w="25400">
          <a:noFill/>
        </a:ln>
      </c:spPr>
    </c:plotArea>
    <c:legend>
      <c:legendPos val="r"/>
      <c:legendEntry>
        <c:idx val="1"/>
        <c:delete val="1"/>
      </c:legendEntry>
      <c:layout>
        <c:manualLayout>
          <c:xMode val="edge"/>
          <c:yMode val="edge"/>
          <c:x val="0.87975798673249661"/>
          <c:y val="0.11364001228025157"/>
          <c:w val="0.1121657648215011"/>
          <c:h val="0.25000802701655345"/>
        </c:manualLayout>
      </c:layout>
      <c:overlay val="0"/>
      <c:spPr>
        <a:noFill/>
        <a:ln w="25400">
          <a:noFill/>
        </a:ln>
      </c:spPr>
      <c:txPr>
        <a:bodyPr/>
        <a:lstStyle/>
        <a:p>
          <a:pPr>
            <a:defRPr sz="690" b="0" i="0" u="none" strike="noStrike" baseline="0">
              <a:solidFill>
                <a:srgbClr val="003300"/>
              </a:solidFill>
              <a:latin typeface="Arial"/>
              <a:ea typeface="Arial"/>
              <a:cs typeface="Arial"/>
            </a:defRPr>
          </a:pPr>
          <a:endParaRPr lang="sr-Latn-RS"/>
        </a:p>
      </c:txPr>
    </c:legend>
    <c:plotVisOnly val="1"/>
    <c:dispBlanksAs val="gap"/>
    <c:showDLblsOverMax val="0"/>
  </c:chart>
  <c:spPr>
    <a:solidFill>
      <a:srgbClr val="FFFFFF"/>
    </a:solidFill>
    <a:ln w="12700">
      <a:solidFill>
        <a:srgbClr val="99CC00"/>
      </a:solidFill>
      <a:prstDash val="lgDash"/>
    </a:ln>
  </c:spPr>
  <c:txPr>
    <a:bodyPr/>
    <a:lstStyle/>
    <a:p>
      <a:pPr>
        <a:defRPr sz="1000" b="0" i="0" u="none" strike="noStrike" baseline="0">
          <a:solidFill>
            <a:srgbClr val="003300"/>
          </a:solidFill>
          <a:latin typeface="Arial"/>
          <a:ea typeface="Arial"/>
          <a:cs typeface="Arial"/>
        </a:defRPr>
      </a:pPr>
      <a:endParaRPr lang="sr-Latn-R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9.6188204759483018E-2"/>
          <c:y val="5.1643173397222505E-2"/>
          <c:w val="0.53305385546183115"/>
          <c:h val="0.75434262898132087"/>
        </c:manualLayout>
      </c:layout>
      <c:barChart>
        <c:barDir val="bar"/>
        <c:grouping val="stacked"/>
        <c:varyColors val="0"/>
        <c:ser>
          <c:idx val="0"/>
          <c:order val="0"/>
          <c:tx>
            <c:strRef>
              <c:f>'Monitoring Report'!$L$61:$O$61</c:f>
              <c:strCache>
                <c:ptCount val="4"/>
                <c:pt idx="0">
                  <c:v>Estimated GHG reduction associated with completed actions</c:v>
                </c:pt>
              </c:strCache>
            </c:strRef>
          </c:tx>
          <c:spPr>
            <a:solidFill>
              <a:srgbClr val="97B42A"/>
            </a:solidFill>
            <a:ln w="25400">
              <a:noFill/>
            </a:ln>
          </c:spPr>
          <c:invertIfNegative val="0"/>
          <c:cat>
            <c:strRef>
              <c:f>'Monitoring Report'!$P$60:$R$60</c:f>
              <c:strCache>
                <c:ptCount val="3"/>
                <c:pt idx="0">
                  <c:v>2020</c:v>
                </c:pt>
                <c:pt idx="1">
                  <c:v>2030</c:v>
                </c:pt>
                <c:pt idx="2">
                  <c:v>[drop -down]</c:v>
                </c:pt>
              </c:strCache>
            </c:strRef>
          </c:cat>
          <c:val>
            <c:numRef>
              <c:f>'Monitoring Report'!$P$61:$R$61</c:f>
              <c:numCache>
                <c:formatCode>General</c:formatCode>
                <c:ptCount val="3"/>
              </c:numCache>
            </c:numRef>
          </c:val>
          <c:extLst>
            <c:ext xmlns:c16="http://schemas.microsoft.com/office/drawing/2014/chart" uri="{C3380CC4-5D6E-409C-BE32-E72D297353CC}">
              <c16:uniqueId val="{00000000-7230-4F8B-9D4C-F96AEC142FCD}"/>
            </c:ext>
          </c:extLst>
        </c:ser>
        <c:ser>
          <c:idx val="1"/>
          <c:order val="1"/>
          <c:tx>
            <c:strRef>
              <c:f>'Monitoring Report'!$L$62:$O$62</c:f>
              <c:strCache>
                <c:ptCount val="4"/>
                <c:pt idx="0">
                  <c:v>Estimated GHG reduction associated with ongoing actions</c:v>
                </c:pt>
              </c:strCache>
            </c:strRef>
          </c:tx>
          <c:spPr>
            <a:solidFill>
              <a:srgbClr val="FFD500"/>
            </a:solidFill>
            <a:ln w="25400">
              <a:noFill/>
            </a:ln>
          </c:spPr>
          <c:invertIfNegative val="0"/>
          <c:cat>
            <c:strRef>
              <c:f>'Monitoring Report'!$P$60:$R$60</c:f>
              <c:strCache>
                <c:ptCount val="3"/>
                <c:pt idx="0">
                  <c:v>2020</c:v>
                </c:pt>
                <c:pt idx="1">
                  <c:v>2030</c:v>
                </c:pt>
                <c:pt idx="2">
                  <c:v>[drop -down]</c:v>
                </c:pt>
              </c:strCache>
            </c:strRef>
          </c:cat>
          <c:val>
            <c:numRef>
              <c:f>'Monitoring Report'!$P$62:$R$62</c:f>
              <c:numCache>
                <c:formatCode>#,##0.00</c:formatCode>
                <c:ptCount val="3"/>
                <c:pt idx="1">
                  <c:v>1542.3400000000001</c:v>
                </c:pt>
              </c:numCache>
            </c:numRef>
          </c:val>
          <c:extLst>
            <c:ext xmlns:c16="http://schemas.microsoft.com/office/drawing/2014/chart" uri="{C3380CC4-5D6E-409C-BE32-E72D297353CC}">
              <c16:uniqueId val="{00000001-7230-4F8B-9D4C-F96AEC142FCD}"/>
            </c:ext>
          </c:extLst>
        </c:ser>
        <c:ser>
          <c:idx val="2"/>
          <c:order val="2"/>
          <c:tx>
            <c:strRef>
              <c:f>'Monitoring Report'!$L$64:$O$64</c:f>
              <c:strCache>
                <c:ptCount val="4"/>
                <c:pt idx="0">
                  <c:v>Overall estimated GHG reduction associated with all actions</c:v>
                </c:pt>
              </c:strCache>
            </c:strRef>
          </c:tx>
          <c:spPr>
            <a:solidFill>
              <a:srgbClr val="DFDFDF"/>
            </a:solidFill>
            <a:ln w="25400">
              <a:noFill/>
            </a:ln>
          </c:spPr>
          <c:invertIfNegative val="0"/>
          <c:cat>
            <c:strRef>
              <c:f>'Monitoring Report'!$P$60:$R$60</c:f>
              <c:strCache>
                <c:ptCount val="3"/>
                <c:pt idx="0">
                  <c:v>2020</c:v>
                </c:pt>
                <c:pt idx="1">
                  <c:v>2030</c:v>
                </c:pt>
                <c:pt idx="2">
                  <c:v>[drop -down]</c:v>
                </c:pt>
              </c:strCache>
            </c:strRef>
          </c:cat>
          <c:val>
            <c:numRef>
              <c:f>'Monitoring Report'!$P$63:$R$63</c:f>
              <c:numCache>
                <c:formatCode>0</c:formatCode>
                <c:ptCount val="3"/>
                <c:pt idx="1">
                  <c:v>9835.2099999999991</c:v>
                </c:pt>
              </c:numCache>
            </c:numRef>
          </c:val>
          <c:extLst>
            <c:ext xmlns:c16="http://schemas.microsoft.com/office/drawing/2014/chart" uri="{C3380CC4-5D6E-409C-BE32-E72D297353CC}">
              <c16:uniqueId val="{00000002-7230-4F8B-9D4C-F96AEC142FCD}"/>
            </c:ext>
          </c:extLst>
        </c:ser>
        <c:dLbls>
          <c:showLegendKey val="0"/>
          <c:showVal val="0"/>
          <c:showCatName val="0"/>
          <c:showSerName val="0"/>
          <c:showPercent val="0"/>
          <c:showBubbleSize val="0"/>
        </c:dLbls>
        <c:gapWidth val="75"/>
        <c:overlap val="100"/>
        <c:axId val="381689616"/>
        <c:axId val="1"/>
      </c:barChart>
      <c:catAx>
        <c:axId val="381689616"/>
        <c:scaling>
          <c:orientation val="minMax"/>
        </c:scaling>
        <c:delete val="0"/>
        <c:axPos val="l"/>
        <c:numFmt formatCode="General" sourceLinked="0"/>
        <c:majorTickMark val="none"/>
        <c:minorTickMark val="none"/>
        <c:tickLblPos val="nextTo"/>
        <c:spPr>
          <a:ln w="3175">
            <a:solidFill>
              <a:srgbClr val="808080"/>
            </a:solidFill>
            <a:prstDash val="solid"/>
          </a:ln>
        </c:spPr>
        <c:txPr>
          <a:bodyPr rot="0" vert="horz"/>
          <a:lstStyle/>
          <a:p>
            <a:pPr>
              <a:defRPr sz="900" b="0" i="0" u="none" strike="noStrike" baseline="0">
                <a:solidFill>
                  <a:srgbClr val="003300"/>
                </a:solidFill>
                <a:latin typeface="Arial"/>
                <a:ea typeface="Arial"/>
                <a:cs typeface="Arial"/>
              </a:defRPr>
            </a:pPr>
            <a:endParaRPr lang="sr-Latn-RS"/>
          </a:p>
        </c:txPr>
        <c:crossAx val="1"/>
        <c:crosses val="autoZero"/>
        <c:auto val="1"/>
        <c:lblAlgn val="ctr"/>
        <c:lblOffset val="100"/>
        <c:noMultiLvlLbl val="0"/>
      </c:catAx>
      <c:valAx>
        <c:axId val="1"/>
        <c:scaling>
          <c:orientation val="minMax"/>
        </c:scaling>
        <c:delete val="0"/>
        <c:axPos val="b"/>
        <c:title>
          <c:tx>
            <c:rich>
              <a:bodyPr/>
              <a:lstStyle/>
              <a:p>
                <a:pPr>
                  <a:defRPr sz="900" b="1" i="0" u="none" strike="noStrike" baseline="0">
                    <a:solidFill>
                      <a:srgbClr val="000000"/>
                    </a:solidFill>
                    <a:latin typeface="Arial"/>
                    <a:ea typeface="Arial"/>
                    <a:cs typeface="Arial"/>
                  </a:defRPr>
                </a:pPr>
                <a:r>
                  <a:rPr lang="en-US"/>
                  <a:t>Tonnes CO2/CO2 eq. /year</a:t>
                </a:r>
              </a:p>
            </c:rich>
          </c:tx>
          <c:layout>
            <c:manualLayout>
              <c:xMode val="edge"/>
              <c:yMode val="edge"/>
              <c:x val="0.21178275792449022"/>
              <c:y val="0.90917821891981809"/>
            </c:manualLayout>
          </c:layout>
          <c:overlay val="0"/>
          <c:spPr>
            <a:noFill/>
            <a:ln w="25400">
              <a:noFill/>
            </a:ln>
          </c:spPr>
        </c:title>
        <c:numFmt formatCode="General" sourceLinked="0"/>
        <c:majorTickMark val="out"/>
        <c:minorTickMark val="none"/>
        <c:tickLblPos val="nextTo"/>
        <c:spPr>
          <a:ln w="3175">
            <a:solidFill>
              <a:srgbClr val="808080"/>
            </a:solidFill>
            <a:prstDash val="solid"/>
          </a:ln>
        </c:spPr>
        <c:txPr>
          <a:bodyPr rot="0" vert="horz"/>
          <a:lstStyle/>
          <a:p>
            <a:pPr>
              <a:defRPr sz="900" b="0" i="0" u="none" strike="noStrike" baseline="0">
                <a:solidFill>
                  <a:srgbClr val="003300"/>
                </a:solidFill>
                <a:latin typeface="Arial"/>
                <a:ea typeface="Arial"/>
                <a:cs typeface="Arial"/>
              </a:defRPr>
            </a:pPr>
            <a:endParaRPr lang="sr-Latn-RS"/>
          </a:p>
        </c:txPr>
        <c:crossAx val="381689616"/>
        <c:crosses val="autoZero"/>
        <c:crossBetween val="between"/>
      </c:valAx>
      <c:spPr>
        <a:noFill/>
        <a:ln w="25400">
          <a:noFill/>
        </a:ln>
      </c:spPr>
    </c:plotArea>
    <c:legend>
      <c:legendPos val="r"/>
      <c:layout>
        <c:manualLayout>
          <c:xMode val="edge"/>
          <c:yMode val="edge"/>
          <c:x val="0.65330055478730731"/>
          <c:y val="0.26913041014298372"/>
          <c:w val="0.33869885319915727"/>
          <c:h val="0.47876883488593952"/>
        </c:manualLayout>
      </c:layout>
      <c:overlay val="0"/>
      <c:spPr>
        <a:noFill/>
        <a:ln w="25400">
          <a:noFill/>
        </a:ln>
      </c:spPr>
      <c:txPr>
        <a:bodyPr/>
        <a:lstStyle/>
        <a:p>
          <a:pPr>
            <a:defRPr sz="690" b="0" i="0" u="none" strike="noStrike" baseline="0">
              <a:solidFill>
                <a:srgbClr val="003300"/>
              </a:solidFill>
              <a:latin typeface="Arial"/>
              <a:ea typeface="Arial"/>
              <a:cs typeface="Arial"/>
            </a:defRPr>
          </a:pPr>
          <a:endParaRPr lang="sr-Latn-RS"/>
        </a:p>
      </c:txPr>
    </c:legend>
    <c:plotVisOnly val="1"/>
    <c:dispBlanksAs val="gap"/>
    <c:showDLblsOverMax val="0"/>
  </c:chart>
  <c:spPr>
    <a:solidFill>
      <a:srgbClr val="FFFFFF"/>
    </a:solidFill>
    <a:ln w="12700">
      <a:solidFill>
        <a:srgbClr val="99CC00"/>
      </a:solidFill>
      <a:prstDash val="lgDash"/>
    </a:ln>
  </c:spPr>
  <c:txPr>
    <a:bodyPr/>
    <a:lstStyle/>
    <a:p>
      <a:pPr>
        <a:defRPr sz="1000" b="0" i="0" u="none" strike="noStrike" baseline="0">
          <a:solidFill>
            <a:srgbClr val="003300"/>
          </a:solidFill>
          <a:latin typeface="Arial"/>
          <a:ea typeface="Arial"/>
          <a:cs typeface="Arial"/>
        </a:defRPr>
      </a:pPr>
      <a:endParaRPr lang="sr-Latn-R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420869688586225"/>
          <c:y val="6.4785088304639929E-2"/>
          <c:w val="0.59522352273533374"/>
          <c:h val="0.78903477798611799"/>
        </c:manualLayout>
      </c:layout>
      <c:barChart>
        <c:barDir val="col"/>
        <c:grouping val="stacked"/>
        <c:varyColors val="0"/>
        <c:ser>
          <c:idx val="7"/>
          <c:order val="0"/>
          <c:tx>
            <c:strRef>
              <c:f>'Monitoring Report'!$L$126</c:f>
              <c:strCache>
                <c:ptCount val="1"/>
                <c:pt idx="0">
                  <c:v>Non-energy related</c:v>
                </c:pt>
              </c:strCache>
            </c:strRef>
          </c:tx>
          <c:spPr>
            <a:solidFill>
              <a:srgbClr val="D19392"/>
            </a:solidFill>
            <a:ln w="25400">
              <a:noFill/>
            </a:ln>
          </c:spPr>
          <c:invertIfNegative val="0"/>
          <c:cat>
            <c:strRef>
              <c:f>'Monitoring Report'!$M$118:$P$118</c:f>
              <c:strCache>
                <c:ptCount val="3"/>
                <c:pt idx="0">
                  <c:v>2017</c:v>
                </c:pt>
                <c:pt idx="1">
                  <c:v>0</c:v>
                </c:pt>
                <c:pt idx="2">
                  <c:v>[drop-down]</c:v>
                </c:pt>
              </c:strCache>
            </c:strRef>
          </c:cat>
          <c:val>
            <c:numRef>
              <c:f>'Monitoring Report'!$M$126:$P$126</c:f>
              <c:numCache>
                <c:formatCode>0</c:formatCode>
                <c:ptCount val="4"/>
                <c:pt idx="0">
                  <c:v>0</c:v>
                </c:pt>
                <c:pt idx="1">
                  <c:v>0</c:v>
                </c:pt>
                <c:pt idx="2">
                  <c:v>0</c:v>
                </c:pt>
              </c:numCache>
            </c:numRef>
          </c:val>
          <c:extLst>
            <c:ext xmlns:c16="http://schemas.microsoft.com/office/drawing/2014/chart" uri="{C3380CC4-5D6E-409C-BE32-E72D297353CC}">
              <c16:uniqueId val="{00000000-D9CD-46D7-A5DA-9A29EED9EF6C}"/>
            </c:ext>
          </c:extLst>
        </c:ser>
        <c:ser>
          <c:idx val="5"/>
          <c:order val="1"/>
          <c:tx>
            <c:strRef>
              <c:f>'Monitoring Report'!$L$125</c:f>
              <c:strCache>
                <c:ptCount val="1"/>
                <c:pt idx="0">
                  <c:v>Other</c:v>
                </c:pt>
              </c:strCache>
            </c:strRef>
          </c:tx>
          <c:spPr>
            <a:solidFill>
              <a:srgbClr val="D9D9D9"/>
            </a:solidFill>
            <a:ln w="25400">
              <a:noFill/>
            </a:ln>
          </c:spPr>
          <c:invertIfNegative val="0"/>
          <c:cat>
            <c:strRef>
              <c:f>'Monitoring Report'!$M$118:$P$118</c:f>
              <c:strCache>
                <c:ptCount val="3"/>
                <c:pt idx="0">
                  <c:v>2017</c:v>
                </c:pt>
                <c:pt idx="1">
                  <c:v>0</c:v>
                </c:pt>
                <c:pt idx="2">
                  <c:v>[drop-down]</c:v>
                </c:pt>
              </c:strCache>
            </c:strRef>
          </c:cat>
          <c:val>
            <c:numRef>
              <c:f>'Monitoring Report'!$M$125:$P$125</c:f>
              <c:numCache>
                <c:formatCode>0</c:formatCode>
                <c:ptCount val="4"/>
                <c:pt idx="0">
                  <c:v>0</c:v>
                </c:pt>
                <c:pt idx="1">
                  <c:v>0</c:v>
                </c:pt>
                <c:pt idx="2">
                  <c:v>0</c:v>
                </c:pt>
              </c:numCache>
            </c:numRef>
          </c:val>
          <c:extLst>
            <c:ext xmlns:c16="http://schemas.microsoft.com/office/drawing/2014/chart" uri="{C3380CC4-5D6E-409C-BE32-E72D297353CC}">
              <c16:uniqueId val="{00000001-D9CD-46D7-A5DA-9A29EED9EF6C}"/>
            </c:ext>
          </c:extLst>
        </c:ser>
        <c:ser>
          <c:idx val="4"/>
          <c:order val="2"/>
          <c:tx>
            <c:strRef>
              <c:f>'Monitoring Report'!$L$124</c:f>
              <c:strCache>
                <c:ptCount val="1"/>
                <c:pt idx="0">
                  <c:v>Transport</c:v>
                </c:pt>
              </c:strCache>
            </c:strRef>
          </c:tx>
          <c:spPr>
            <a:solidFill>
              <a:srgbClr val="003068"/>
            </a:solidFill>
            <a:ln w="25400">
              <a:noFill/>
            </a:ln>
          </c:spPr>
          <c:invertIfNegative val="0"/>
          <c:cat>
            <c:strRef>
              <c:f>'Monitoring Report'!$M$118:$P$118</c:f>
              <c:strCache>
                <c:ptCount val="3"/>
                <c:pt idx="0">
                  <c:v>2017</c:v>
                </c:pt>
                <c:pt idx="1">
                  <c:v>0</c:v>
                </c:pt>
                <c:pt idx="2">
                  <c:v>[drop-down]</c:v>
                </c:pt>
              </c:strCache>
            </c:strRef>
          </c:cat>
          <c:val>
            <c:numRef>
              <c:f>'Monitoring Report'!$M$124:$P$124</c:f>
              <c:numCache>
                <c:formatCode>0</c:formatCode>
                <c:ptCount val="4"/>
                <c:pt idx="0">
                  <c:v>24991.843549648085</c:v>
                </c:pt>
                <c:pt idx="1">
                  <c:v>0</c:v>
                </c:pt>
                <c:pt idx="2">
                  <c:v>0</c:v>
                </c:pt>
              </c:numCache>
            </c:numRef>
          </c:val>
          <c:extLst>
            <c:ext xmlns:c16="http://schemas.microsoft.com/office/drawing/2014/chart" uri="{C3380CC4-5D6E-409C-BE32-E72D297353CC}">
              <c16:uniqueId val="{00000002-D9CD-46D7-A5DA-9A29EED9EF6C}"/>
            </c:ext>
          </c:extLst>
        </c:ser>
        <c:ser>
          <c:idx val="6"/>
          <c:order val="3"/>
          <c:tx>
            <c:strRef>
              <c:f>'Monitoring Report'!$L$123</c:f>
              <c:strCache>
                <c:ptCount val="1"/>
                <c:pt idx="0">
                  <c:v>Industry</c:v>
                </c:pt>
              </c:strCache>
            </c:strRef>
          </c:tx>
          <c:spPr>
            <a:solidFill>
              <a:srgbClr val="FCD5B5"/>
            </a:solidFill>
            <a:ln w="25400">
              <a:noFill/>
            </a:ln>
          </c:spPr>
          <c:invertIfNegative val="0"/>
          <c:cat>
            <c:strRef>
              <c:f>'Monitoring Report'!$M$118:$P$118</c:f>
              <c:strCache>
                <c:ptCount val="3"/>
                <c:pt idx="0">
                  <c:v>2017</c:v>
                </c:pt>
                <c:pt idx="1">
                  <c:v>0</c:v>
                </c:pt>
                <c:pt idx="2">
                  <c:v>[drop-down]</c:v>
                </c:pt>
              </c:strCache>
            </c:strRef>
          </c:cat>
          <c:val>
            <c:numRef>
              <c:f>'Monitoring Report'!$M$123:$P$123</c:f>
              <c:numCache>
                <c:formatCode>0</c:formatCode>
                <c:ptCount val="4"/>
                <c:pt idx="0">
                  <c:v>0</c:v>
                </c:pt>
                <c:pt idx="1">
                  <c:v>0</c:v>
                </c:pt>
                <c:pt idx="2">
                  <c:v>0</c:v>
                </c:pt>
              </c:numCache>
            </c:numRef>
          </c:val>
          <c:extLst>
            <c:ext xmlns:c16="http://schemas.microsoft.com/office/drawing/2014/chart" uri="{C3380CC4-5D6E-409C-BE32-E72D297353CC}">
              <c16:uniqueId val="{00000003-D9CD-46D7-A5DA-9A29EED9EF6C}"/>
            </c:ext>
          </c:extLst>
        </c:ser>
        <c:ser>
          <c:idx val="3"/>
          <c:order val="4"/>
          <c:tx>
            <c:strRef>
              <c:f>'Monitoring Report'!$L$122</c:f>
              <c:strCache>
                <c:ptCount val="1"/>
                <c:pt idx="0">
                  <c:v>Public lighting</c:v>
                </c:pt>
              </c:strCache>
            </c:strRef>
          </c:tx>
          <c:spPr>
            <a:solidFill>
              <a:srgbClr val="DCE6F1"/>
            </a:solidFill>
            <a:ln w="25400">
              <a:noFill/>
            </a:ln>
          </c:spPr>
          <c:invertIfNegative val="0"/>
          <c:cat>
            <c:strRef>
              <c:f>'Monitoring Report'!$M$118:$P$118</c:f>
              <c:strCache>
                <c:ptCount val="3"/>
                <c:pt idx="0">
                  <c:v>2017</c:v>
                </c:pt>
                <c:pt idx="1">
                  <c:v>0</c:v>
                </c:pt>
                <c:pt idx="2">
                  <c:v>[drop-down]</c:v>
                </c:pt>
              </c:strCache>
            </c:strRef>
          </c:cat>
          <c:val>
            <c:numRef>
              <c:f>'Monitoring Report'!$M$122:$P$122</c:f>
              <c:numCache>
                <c:formatCode>0</c:formatCode>
                <c:ptCount val="4"/>
                <c:pt idx="0">
                  <c:v>50.732219999999998</c:v>
                </c:pt>
                <c:pt idx="1">
                  <c:v>0</c:v>
                </c:pt>
                <c:pt idx="2">
                  <c:v>0</c:v>
                </c:pt>
              </c:numCache>
            </c:numRef>
          </c:val>
          <c:extLst>
            <c:ext xmlns:c16="http://schemas.microsoft.com/office/drawing/2014/chart" uri="{C3380CC4-5D6E-409C-BE32-E72D297353CC}">
              <c16:uniqueId val="{00000004-D9CD-46D7-A5DA-9A29EED9EF6C}"/>
            </c:ext>
          </c:extLst>
        </c:ser>
        <c:ser>
          <c:idx val="2"/>
          <c:order val="5"/>
          <c:tx>
            <c:strRef>
              <c:f>'Monitoring Report'!$L$121</c:f>
              <c:strCache>
                <c:ptCount val="1"/>
                <c:pt idx="0">
                  <c:v>Residential</c:v>
                </c:pt>
              </c:strCache>
            </c:strRef>
          </c:tx>
          <c:spPr>
            <a:solidFill>
              <a:srgbClr val="97B42A"/>
            </a:solidFill>
            <a:ln w="25400">
              <a:noFill/>
            </a:ln>
          </c:spPr>
          <c:invertIfNegative val="0"/>
          <c:cat>
            <c:strRef>
              <c:f>'Monitoring Report'!$M$118:$P$118</c:f>
              <c:strCache>
                <c:ptCount val="3"/>
                <c:pt idx="0">
                  <c:v>2017</c:v>
                </c:pt>
                <c:pt idx="1">
                  <c:v>0</c:v>
                </c:pt>
                <c:pt idx="2">
                  <c:v>[drop-down]</c:v>
                </c:pt>
              </c:strCache>
            </c:strRef>
          </c:cat>
          <c:val>
            <c:numRef>
              <c:f>'Monitoring Report'!$M$121:$P$121</c:f>
              <c:numCache>
                <c:formatCode>0</c:formatCode>
                <c:ptCount val="4"/>
                <c:pt idx="0">
                  <c:v>2057.4406774999998</c:v>
                </c:pt>
                <c:pt idx="1">
                  <c:v>0</c:v>
                </c:pt>
                <c:pt idx="2">
                  <c:v>0</c:v>
                </c:pt>
              </c:numCache>
            </c:numRef>
          </c:val>
          <c:extLst>
            <c:ext xmlns:c16="http://schemas.microsoft.com/office/drawing/2014/chart" uri="{C3380CC4-5D6E-409C-BE32-E72D297353CC}">
              <c16:uniqueId val="{00000005-D9CD-46D7-A5DA-9A29EED9EF6C}"/>
            </c:ext>
          </c:extLst>
        </c:ser>
        <c:ser>
          <c:idx val="1"/>
          <c:order val="6"/>
          <c:tx>
            <c:strRef>
              <c:f>'Monitoring Report'!$L$120</c:f>
              <c:strCache>
                <c:ptCount val="1"/>
                <c:pt idx="0">
                  <c:v>Tertiary</c:v>
                </c:pt>
              </c:strCache>
            </c:strRef>
          </c:tx>
          <c:spPr>
            <a:solidFill>
              <a:srgbClr val="FFD500"/>
            </a:solidFill>
            <a:ln w="25400">
              <a:noFill/>
            </a:ln>
          </c:spPr>
          <c:invertIfNegative val="0"/>
          <c:cat>
            <c:strRef>
              <c:f>'Monitoring Report'!$M$118:$P$118</c:f>
              <c:strCache>
                <c:ptCount val="3"/>
                <c:pt idx="0">
                  <c:v>2017</c:v>
                </c:pt>
                <c:pt idx="1">
                  <c:v>0</c:v>
                </c:pt>
                <c:pt idx="2">
                  <c:v>[drop-down]</c:v>
                </c:pt>
              </c:strCache>
            </c:strRef>
          </c:cat>
          <c:val>
            <c:numRef>
              <c:f>'Monitoring Report'!$M$120:$P$120</c:f>
              <c:numCache>
                <c:formatCode>0</c:formatCode>
                <c:ptCount val="4"/>
                <c:pt idx="0">
                  <c:v>1275.7215482871429</c:v>
                </c:pt>
                <c:pt idx="1">
                  <c:v>0</c:v>
                </c:pt>
                <c:pt idx="2">
                  <c:v>0</c:v>
                </c:pt>
              </c:numCache>
            </c:numRef>
          </c:val>
          <c:extLst>
            <c:ext xmlns:c16="http://schemas.microsoft.com/office/drawing/2014/chart" uri="{C3380CC4-5D6E-409C-BE32-E72D297353CC}">
              <c16:uniqueId val="{00000006-D9CD-46D7-A5DA-9A29EED9EF6C}"/>
            </c:ext>
          </c:extLst>
        </c:ser>
        <c:ser>
          <c:idx val="0"/>
          <c:order val="7"/>
          <c:tx>
            <c:strRef>
              <c:f>'Monitoring Report'!$L$119</c:f>
              <c:strCache>
                <c:ptCount val="1"/>
                <c:pt idx="0">
                  <c:v>Municipal</c:v>
                </c:pt>
              </c:strCache>
            </c:strRef>
          </c:tx>
          <c:spPr>
            <a:solidFill>
              <a:srgbClr val="006AB3"/>
            </a:solidFill>
            <a:ln w="25400">
              <a:noFill/>
            </a:ln>
          </c:spPr>
          <c:invertIfNegative val="0"/>
          <c:cat>
            <c:strRef>
              <c:f>'Monitoring Report'!$M$118:$P$118</c:f>
              <c:strCache>
                <c:ptCount val="3"/>
                <c:pt idx="0">
                  <c:v>2017</c:v>
                </c:pt>
                <c:pt idx="1">
                  <c:v>0</c:v>
                </c:pt>
                <c:pt idx="2">
                  <c:v>[drop-down]</c:v>
                </c:pt>
              </c:strCache>
            </c:strRef>
          </c:cat>
          <c:val>
            <c:numRef>
              <c:f>'Monitoring Report'!$M$119:$P$119</c:f>
              <c:numCache>
                <c:formatCode>0</c:formatCode>
                <c:ptCount val="4"/>
                <c:pt idx="0">
                  <c:v>68.7468786564</c:v>
                </c:pt>
                <c:pt idx="1">
                  <c:v>0</c:v>
                </c:pt>
                <c:pt idx="2">
                  <c:v>0</c:v>
                </c:pt>
              </c:numCache>
            </c:numRef>
          </c:val>
          <c:extLst>
            <c:ext xmlns:c16="http://schemas.microsoft.com/office/drawing/2014/chart" uri="{C3380CC4-5D6E-409C-BE32-E72D297353CC}">
              <c16:uniqueId val="{00000007-D9CD-46D7-A5DA-9A29EED9EF6C}"/>
            </c:ext>
          </c:extLst>
        </c:ser>
        <c:dLbls>
          <c:showLegendKey val="0"/>
          <c:showVal val="0"/>
          <c:showCatName val="0"/>
          <c:showSerName val="0"/>
          <c:showPercent val="0"/>
          <c:showBubbleSize val="0"/>
        </c:dLbls>
        <c:gapWidth val="75"/>
        <c:overlap val="100"/>
        <c:axId val="381694192"/>
        <c:axId val="1"/>
      </c:barChart>
      <c:catAx>
        <c:axId val="381694192"/>
        <c:scaling>
          <c:orientation val="minMax"/>
        </c:scaling>
        <c:delete val="0"/>
        <c:axPos val="b"/>
        <c:numFmt formatCode="General" sourceLinked="1"/>
        <c:majorTickMark val="none"/>
        <c:minorTickMark val="none"/>
        <c:tickLblPos val="nextTo"/>
        <c:spPr>
          <a:ln w="3175">
            <a:solidFill>
              <a:srgbClr val="808080"/>
            </a:solidFill>
            <a:prstDash val="solid"/>
          </a:ln>
        </c:spPr>
        <c:txPr>
          <a:bodyPr rot="0" vert="horz"/>
          <a:lstStyle/>
          <a:p>
            <a:pPr>
              <a:defRPr sz="900" b="0" i="0" u="none" strike="noStrike" baseline="0">
                <a:solidFill>
                  <a:srgbClr val="003300"/>
                </a:solidFill>
                <a:latin typeface="Arial"/>
                <a:ea typeface="Arial"/>
                <a:cs typeface="Arial"/>
              </a:defRPr>
            </a:pPr>
            <a:endParaRPr lang="sr-Latn-RS"/>
          </a:p>
        </c:txPr>
        <c:crossAx val="1"/>
        <c:crosses val="autoZero"/>
        <c:auto val="1"/>
        <c:lblAlgn val="ctr"/>
        <c:lblOffset val="100"/>
        <c:noMultiLvlLbl val="0"/>
      </c:catAx>
      <c:valAx>
        <c:axId val="1"/>
        <c:scaling>
          <c:orientation val="minMax"/>
        </c:scaling>
        <c:delete val="0"/>
        <c:axPos val="l"/>
        <c:title>
          <c:tx>
            <c:rich>
              <a:bodyPr/>
              <a:lstStyle/>
              <a:p>
                <a:pPr>
                  <a:defRPr sz="1000" b="1" i="0" u="none" strike="noStrike" baseline="0">
                    <a:solidFill>
                      <a:srgbClr val="000000"/>
                    </a:solidFill>
                    <a:latin typeface="Arial"/>
                    <a:ea typeface="Arial"/>
                    <a:cs typeface="Arial"/>
                  </a:defRPr>
                </a:pPr>
                <a:r>
                  <a:rPr lang="en-US"/>
                  <a:t>Tonnes CO2/CO2 eq. / year  </a:t>
                </a:r>
              </a:p>
            </c:rich>
          </c:tx>
          <c:layout>
            <c:manualLayout>
              <c:xMode val="edge"/>
              <c:yMode val="edge"/>
              <c:x val="6.3326369918045959E-3"/>
              <c:y val="0.14196775403074616"/>
            </c:manualLayout>
          </c:layout>
          <c:overlay val="0"/>
          <c:spPr>
            <a:noFill/>
            <a:ln w="25400">
              <a:noFill/>
            </a:ln>
          </c:spPr>
        </c:title>
        <c:numFmt formatCode="0" sourceLinked="0"/>
        <c:majorTickMark val="out"/>
        <c:minorTickMark val="none"/>
        <c:tickLblPos val="nextTo"/>
        <c:spPr>
          <a:ln w="3175">
            <a:solidFill>
              <a:srgbClr val="808080"/>
            </a:solidFill>
            <a:prstDash val="solid"/>
          </a:ln>
        </c:spPr>
        <c:txPr>
          <a:bodyPr rot="0" vert="horz"/>
          <a:lstStyle/>
          <a:p>
            <a:pPr>
              <a:defRPr sz="900" b="0" i="0" u="none" strike="noStrike" baseline="0">
                <a:solidFill>
                  <a:srgbClr val="003300"/>
                </a:solidFill>
                <a:latin typeface="Arial"/>
                <a:ea typeface="Arial"/>
                <a:cs typeface="Arial"/>
              </a:defRPr>
            </a:pPr>
            <a:endParaRPr lang="sr-Latn-RS"/>
          </a:p>
        </c:txPr>
        <c:crossAx val="381694192"/>
        <c:crosses val="autoZero"/>
        <c:crossBetween val="between"/>
      </c:valAx>
      <c:spPr>
        <a:noFill/>
        <a:ln w="25400">
          <a:noFill/>
        </a:ln>
      </c:spPr>
    </c:plotArea>
    <c:legend>
      <c:legendPos val="r"/>
      <c:layout>
        <c:manualLayout>
          <c:xMode val="edge"/>
          <c:yMode val="edge"/>
          <c:x val="0.77562419107520164"/>
          <c:y val="7.3748769128361924E-2"/>
          <c:w val="0.2156932441473173"/>
          <c:h val="0.79353675582117433"/>
        </c:manualLayout>
      </c:layout>
      <c:overlay val="0"/>
      <c:spPr>
        <a:noFill/>
        <a:ln w="25400">
          <a:noFill/>
        </a:ln>
      </c:spPr>
      <c:txPr>
        <a:bodyPr/>
        <a:lstStyle/>
        <a:p>
          <a:pPr>
            <a:defRPr sz="690" b="0" i="0" u="none" strike="noStrike" baseline="0">
              <a:solidFill>
                <a:srgbClr val="003300"/>
              </a:solidFill>
              <a:latin typeface="Arial"/>
              <a:ea typeface="Arial"/>
              <a:cs typeface="Arial"/>
            </a:defRPr>
          </a:pPr>
          <a:endParaRPr lang="sr-Latn-RS"/>
        </a:p>
      </c:txPr>
    </c:legend>
    <c:plotVisOnly val="1"/>
    <c:dispBlanksAs val="gap"/>
    <c:showDLblsOverMax val="0"/>
  </c:chart>
  <c:spPr>
    <a:solidFill>
      <a:srgbClr val="FFFFFF"/>
    </a:solidFill>
    <a:ln w="3175">
      <a:solidFill>
        <a:srgbClr val="99CC00"/>
      </a:solidFill>
      <a:prstDash val="lgDash"/>
    </a:ln>
  </c:spPr>
  <c:txPr>
    <a:bodyPr/>
    <a:lstStyle/>
    <a:p>
      <a:pPr>
        <a:defRPr sz="1000" b="0" i="0" u="none" strike="noStrike" baseline="0">
          <a:solidFill>
            <a:srgbClr val="003300"/>
          </a:solidFill>
          <a:latin typeface="Arial"/>
          <a:ea typeface="Arial"/>
          <a:cs typeface="Arial"/>
        </a:defRPr>
      </a:pPr>
      <a:endParaRPr lang="sr-Latn-R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9604664171077005"/>
          <c:y val="6.4784978800726811E-2"/>
          <c:w val="0.58839826169269804"/>
          <c:h val="0.78903477798611799"/>
        </c:manualLayout>
      </c:layout>
      <c:barChart>
        <c:barDir val="col"/>
        <c:grouping val="stacked"/>
        <c:varyColors val="0"/>
        <c:ser>
          <c:idx val="0"/>
          <c:order val="0"/>
          <c:tx>
            <c:strRef>
              <c:f>'Monitoring Report'!$L$146</c:f>
              <c:strCache>
                <c:ptCount val="1"/>
                <c:pt idx="0">
                  <c:v>Other</c:v>
                </c:pt>
              </c:strCache>
            </c:strRef>
          </c:tx>
          <c:spPr>
            <a:solidFill>
              <a:srgbClr val="D9D9D9"/>
            </a:solidFill>
            <a:ln w="25400">
              <a:noFill/>
            </a:ln>
          </c:spPr>
          <c:invertIfNegative val="0"/>
          <c:cat>
            <c:strRef>
              <c:f>'Monitoring Report'!$M$139:$P$139</c:f>
              <c:strCache>
                <c:ptCount val="3"/>
                <c:pt idx="0">
                  <c:v>2017</c:v>
                </c:pt>
                <c:pt idx="1">
                  <c:v>0</c:v>
                </c:pt>
                <c:pt idx="2">
                  <c:v>[drop-down]</c:v>
                </c:pt>
              </c:strCache>
            </c:strRef>
          </c:cat>
          <c:val>
            <c:numRef>
              <c:f>'Monitoring Report'!$M$146:$P$146</c:f>
              <c:numCache>
                <c:formatCode>0</c:formatCode>
                <c:ptCount val="4"/>
                <c:pt idx="0">
                  <c:v>0</c:v>
                </c:pt>
                <c:pt idx="1">
                  <c:v>0</c:v>
                </c:pt>
                <c:pt idx="2">
                  <c:v>0</c:v>
                </c:pt>
              </c:numCache>
            </c:numRef>
          </c:val>
          <c:extLst>
            <c:ext xmlns:c16="http://schemas.microsoft.com/office/drawing/2014/chart" uri="{C3380CC4-5D6E-409C-BE32-E72D297353CC}">
              <c16:uniqueId val="{00000000-DC8B-4910-9CC1-27743EA7FD08}"/>
            </c:ext>
          </c:extLst>
        </c:ser>
        <c:ser>
          <c:idx val="1"/>
          <c:order val="1"/>
          <c:tx>
            <c:strRef>
              <c:f>'Monitoring Report'!$L$145</c:f>
              <c:strCache>
                <c:ptCount val="1"/>
                <c:pt idx="0">
                  <c:v>Transport</c:v>
                </c:pt>
              </c:strCache>
            </c:strRef>
          </c:tx>
          <c:spPr>
            <a:solidFill>
              <a:srgbClr val="003068"/>
            </a:solidFill>
            <a:ln w="25400">
              <a:noFill/>
            </a:ln>
          </c:spPr>
          <c:invertIfNegative val="0"/>
          <c:cat>
            <c:strRef>
              <c:f>'Monitoring Report'!$M$139:$P$139</c:f>
              <c:strCache>
                <c:ptCount val="3"/>
                <c:pt idx="0">
                  <c:v>2017</c:v>
                </c:pt>
                <c:pt idx="1">
                  <c:v>0</c:v>
                </c:pt>
                <c:pt idx="2">
                  <c:v>[drop-down]</c:v>
                </c:pt>
              </c:strCache>
            </c:strRef>
          </c:cat>
          <c:val>
            <c:numRef>
              <c:f>'Monitoring Report'!$M$145:$P$145</c:f>
              <c:numCache>
                <c:formatCode>0</c:formatCode>
                <c:ptCount val="4"/>
                <c:pt idx="0">
                  <c:v>95107.067817034025</c:v>
                </c:pt>
                <c:pt idx="1">
                  <c:v>0</c:v>
                </c:pt>
                <c:pt idx="2">
                  <c:v>0</c:v>
                </c:pt>
              </c:numCache>
            </c:numRef>
          </c:val>
          <c:extLst>
            <c:ext xmlns:c16="http://schemas.microsoft.com/office/drawing/2014/chart" uri="{C3380CC4-5D6E-409C-BE32-E72D297353CC}">
              <c16:uniqueId val="{00000001-DC8B-4910-9CC1-27743EA7FD08}"/>
            </c:ext>
          </c:extLst>
        </c:ser>
        <c:ser>
          <c:idx val="2"/>
          <c:order val="2"/>
          <c:tx>
            <c:strRef>
              <c:f>'Monitoring Report'!$L$144</c:f>
              <c:strCache>
                <c:ptCount val="1"/>
                <c:pt idx="0">
                  <c:v>Industry</c:v>
                </c:pt>
              </c:strCache>
            </c:strRef>
          </c:tx>
          <c:spPr>
            <a:solidFill>
              <a:srgbClr val="FCD5B5"/>
            </a:solidFill>
            <a:ln w="25400">
              <a:noFill/>
            </a:ln>
          </c:spPr>
          <c:invertIfNegative val="0"/>
          <c:cat>
            <c:strRef>
              <c:f>'Monitoring Report'!$M$139:$P$139</c:f>
              <c:strCache>
                <c:ptCount val="3"/>
                <c:pt idx="0">
                  <c:v>2017</c:v>
                </c:pt>
                <c:pt idx="1">
                  <c:v>0</c:v>
                </c:pt>
                <c:pt idx="2">
                  <c:v>[drop-down]</c:v>
                </c:pt>
              </c:strCache>
            </c:strRef>
          </c:cat>
          <c:val>
            <c:numRef>
              <c:f>'Monitoring Report'!$M$144:$P$144</c:f>
              <c:numCache>
                <c:formatCode>0</c:formatCode>
                <c:ptCount val="4"/>
                <c:pt idx="0">
                  <c:v>0</c:v>
                </c:pt>
                <c:pt idx="1">
                  <c:v>0</c:v>
                </c:pt>
                <c:pt idx="2">
                  <c:v>0</c:v>
                </c:pt>
              </c:numCache>
            </c:numRef>
          </c:val>
          <c:extLst>
            <c:ext xmlns:c16="http://schemas.microsoft.com/office/drawing/2014/chart" uri="{C3380CC4-5D6E-409C-BE32-E72D297353CC}">
              <c16:uniqueId val="{00000002-DC8B-4910-9CC1-27743EA7FD08}"/>
            </c:ext>
          </c:extLst>
        </c:ser>
        <c:ser>
          <c:idx val="3"/>
          <c:order val="3"/>
          <c:tx>
            <c:strRef>
              <c:f>'Monitoring Report'!$L$143</c:f>
              <c:strCache>
                <c:ptCount val="1"/>
                <c:pt idx="0">
                  <c:v>Public lighting</c:v>
                </c:pt>
              </c:strCache>
            </c:strRef>
          </c:tx>
          <c:spPr>
            <a:solidFill>
              <a:srgbClr val="DCE6F1"/>
            </a:solidFill>
            <a:ln w="25400">
              <a:noFill/>
            </a:ln>
          </c:spPr>
          <c:invertIfNegative val="0"/>
          <c:cat>
            <c:strRef>
              <c:f>'Monitoring Report'!$M$139:$P$139</c:f>
              <c:strCache>
                <c:ptCount val="3"/>
                <c:pt idx="0">
                  <c:v>2017</c:v>
                </c:pt>
                <c:pt idx="1">
                  <c:v>0</c:v>
                </c:pt>
                <c:pt idx="2">
                  <c:v>[drop-down]</c:v>
                </c:pt>
              </c:strCache>
            </c:strRef>
          </c:cat>
          <c:val>
            <c:numRef>
              <c:f>'Monitoring Report'!$M$143:$P$143</c:f>
              <c:numCache>
                <c:formatCode>0</c:formatCode>
                <c:ptCount val="4"/>
                <c:pt idx="0">
                  <c:v>321.08999999999997</c:v>
                </c:pt>
                <c:pt idx="1">
                  <c:v>0</c:v>
                </c:pt>
                <c:pt idx="2">
                  <c:v>0</c:v>
                </c:pt>
              </c:numCache>
            </c:numRef>
          </c:val>
          <c:extLst>
            <c:ext xmlns:c16="http://schemas.microsoft.com/office/drawing/2014/chart" uri="{C3380CC4-5D6E-409C-BE32-E72D297353CC}">
              <c16:uniqueId val="{00000003-DC8B-4910-9CC1-27743EA7FD08}"/>
            </c:ext>
          </c:extLst>
        </c:ser>
        <c:ser>
          <c:idx val="4"/>
          <c:order val="4"/>
          <c:tx>
            <c:strRef>
              <c:f>'Monitoring Report'!$L$142</c:f>
              <c:strCache>
                <c:ptCount val="1"/>
                <c:pt idx="0">
                  <c:v>Residential</c:v>
                </c:pt>
              </c:strCache>
            </c:strRef>
          </c:tx>
          <c:spPr>
            <a:solidFill>
              <a:srgbClr val="97B42A"/>
            </a:solidFill>
            <a:ln w="25400">
              <a:noFill/>
            </a:ln>
          </c:spPr>
          <c:invertIfNegative val="0"/>
          <c:cat>
            <c:strRef>
              <c:f>'Monitoring Report'!$M$139:$P$139</c:f>
              <c:strCache>
                <c:ptCount val="3"/>
                <c:pt idx="0">
                  <c:v>2017</c:v>
                </c:pt>
                <c:pt idx="1">
                  <c:v>0</c:v>
                </c:pt>
                <c:pt idx="2">
                  <c:v>[drop-down]</c:v>
                </c:pt>
              </c:strCache>
            </c:strRef>
          </c:cat>
          <c:val>
            <c:numRef>
              <c:f>'Monitoring Report'!$M$142:$P$142</c:f>
              <c:numCache>
                <c:formatCode>0</c:formatCode>
                <c:ptCount val="4"/>
                <c:pt idx="0">
                  <c:v>16487.1005</c:v>
                </c:pt>
                <c:pt idx="1">
                  <c:v>0</c:v>
                </c:pt>
                <c:pt idx="2">
                  <c:v>0</c:v>
                </c:pt>
              </c:numCache>
            </c:numRef>
          </c:val>
          <c:extLst>
            <c:ext xmlns:c16="http://schemas.microsoft.com/office/drawing/2014/chart" uri="{C3380CC4-5D6E-409C-BE32-E72D297353CC}">
              <c16:uniqueId val="{00000004-DC8B-4910-9CC1-27743EA7FD08}"/>
            </c:ext>
          </c:extLst>
        </c:ser>
        <c:ser>
          <c:idx val="5"/>
          <c:order val="5"/>
          <c:tx>
            <c:strRef>
              <c:f>'Monitoring Report'!$L$141</c:f>
              <c:strCache>
                <c:ptCount val="1"/>
                <c:pt idx="0">
                  <c:v>Tertiary</c:v>
                </c:pt>
              </c:strCache>
            </c:strRef>
          </c:tx>
          <c:spPr>
            <a:solidFill>
              <a:srgbClr val="FFD500"/>
            </a:solidFill>
            <a:ln w="25400">
              <a:noFill/>
            </a:ln>
          </c:spPr>
          <c:invertIfNegative val="0"/>
          <c:cat>
            <c:strRef>
              <c:f>'Monitoring Report'!$M$139:$P$139</c:f>
              <c:strCache>
                <c:ptCount val="3"/>
                <c:pt idx="0">
                  <c:v>2017</c:v>
                </c:pt>
                <c:pt idx="1">
                  <c:v>0</c:v>
                </c:pt>
                <c:pt idx="2">
                  <c:v>[drop-down]</c:v>
                </c:pt>
              </c:strCache>
            </c:strRef>
          </c:cat>
          <c:val>
            <c:numRef>
              <c:f>'Monitoring Report'!$M$141:$P$141</c:f>
              <c:numCache>
                <c:formatCode>0</c:formatCode>
                <c:ptCount val="4"/>
                <c:pt idx="0">
                  <c:v>11406.567757142859</c:v>
                </c:pt>
                <c:pt idx="1">
                  <c:v>0</c:v>
                </c:pt>
                <c:pt idx="2">
                  <c:v>0</c:v>
                </c:pt>
              </c:numCache>
            </c:numRef>
          </c:val>
          <c:extLst>
            <c:ext xmlns:c16="http://schemas.microsoft.com/office/drawing/2014/chart" uri="{C3380CC4-5D6E-409C-BE32-E72D297353CC}">
              <c16:uniqueId val="{00000005-DC8B-4910-9CC1-27743EA7FD08}"/>
            </c:ext>
          </c:extLst>
        </c:ser>
        <c:ser>
          <c:idx val="6"/>
          <c:order val="6"/>
          <c:tx>
            <c:strRef>
              <c:f>'Monitoring Report'!$L$140</c:f>
              <c:strCache>
                <c:ptCount val="1"/>
                <c:pt idx="0">
                  <c:v>Municipal</c:v>
                </c:pt>
              </c:strCache>
            </c:strRef>
          </c:tx>
          <c:spPr>
            <a:solidFill>
              <a:srgbClr val="006AB3"/>
            </a:solidFill>
            <a:ln w="25400">
              <a:noFill/>
            </a:ln>
          </c:spPr>
          <c:invertIfNegative val="0"/>
          <c:cat>
            <c:strRef>
              <c:f>'Monitoring Report'!$M$139:$P$139</c:f>
              <c:strCache>
                <c:ptCount val="3"/>
                <c:pt idx="0">
                  <c:v>2017</c:v>
                </c:pt>
                <c:pt idx="1">
                  <c:v>0</c:v>
                </c:pt>
                <c:pt idx="2">
                  <c:v>[drop-down]</c:v>
                </c:pt>
              </c:strCache>
            </c:strRef>
          </c:cat>
          <c:val>
            <c:numRef>
              <c:f>'Monitoring Report'!$M$140:$P$140</c:f>
              <c:numCache>
                <c:formatCode>0</c:formatCode>
                <c:ptCount val="4"/>
                <c:pt idx="0">
                  <c:v>326.86138319999998</c:v>
                </c:pt>
                <c:pt idx="1">
                  <c:v>0</c:v>
                </c:pt>
                <c:pt idx="2">
                  <c:v>0</c:v>
                </c:pt>
              </c:numCache>
            </c:numRef>
          </c:val>
          <c:extLst>
            <c:ext xmlns:c16="http://schemas.microsoft.com/office/drawing/2014/chart" uri="{C3380CC4-5D6E-409C-BE32-E72D297353CC}">
              <c16:uniqueId val="{00000006-DC8B-4910-9CC1-27743EA7FD08}"/>
            </c:ext>
          </c:extLst>
        </c:ser>
        <c:dLbls>
          <c:showLegendKey val="0"/>
          <c:showVal val="0"/>
          <c:showCatName val="0"/>
          <c:showSerName val="0"/>
          <c:showPercent val="0"/>
          <c:showBubbleSize val="0"/>
        </c:dLbls>
        <c:gapWidth val="75"/>
        <c:overlap val="100"/>
        <c:axId val="381699600"/>
        <c:axId val="1"/>
      </c:barChart>
      <c:catAx>
        <c:axId val="381699600"/>
        <c:scaling>
          <c:orientation val="minMax"/>
        </c:scaling>
        <c:delete val="0"/>
        <c:axPos val="b"/>
        <c:numFmt formatCode="General" sourceLinked="1"/>
        <c:majorTickMark val="none"/>
        <c:minorTickMark val="none"/>
        <c:tickLblPos val="nextTo"/>
        <c:spPr>
          <a:ln w="3175">
            <a:solidFill>
              <a:srgbClr val="808080"/>
            </a:solidFill>
            <a:prstDash val="solid"/>
          </a:ln>
        </c:spPr>
        <c:txPr>
          <a:bodyPr rot="0" vert="horz"/>
          <a:lstStyle/>
          <a:p>
            <a:pPr>
              <a:defRPr sz="1000" b="0" i="0" u="none" strike="noStrike" baseline="0">
                <a:solidFill>
                  <a:srgbClr val="003300"/>
                </a:solidFill>
                <a:latin typeface="Arial"/>
                <a:ea typeface="Arial"/>
                <a:cs typeface="Arial"/>
              </a:defRPr>
            </a:pPr>
            <a:endParaRPr lang="sr-Latn-RS"/>
          </a:p>
        </c:txPr>
        <c:crossAx val="1"/>
        <c:crosses val="autoZero"/>
        <c:auto val="1"/>
        <c:lblAlgn val="ctr"/>
        <c:lblOffset val="100"/>
        <c:noMultiLvlLbl val="0"/>
      </c:catAx>
      <c:valAx>
        <c:axId val="1"/>
        <c:scaling>
          <c:orientation val="minMax"/>
        </c:scaling>
        <c:delete val="0"/>
        <c:axPos val="l"/>
        <c:title>
          <c:tx>
            <c:rich>
              <a:bodyPr/>
              <a:lstStyle/>
              <a:p>
                <a:pPr>
                  <a:defRPr sz="1000" b="1" i="0" u="none" strike="noStrike" baseline="0">
                    <a:solidFill>
                      <a:srgbClr val="000000"/>
                    </a:solidFill>
                    <a:latin typeface="Arial"/>
                    <a:ea typeface="Arial"/>
                    <a:cs typeface="Arial"/>
                  </a:defRPr>
                </a:pPr>
                <a:r>
                  <a:rPr lang="en-US"/>
                  <a:t>MWh/year</a:t>
                </a:r>
              </a:p>
            </c:rich>
          </c:tx>
          <c:layout>
            <c:manualLayout>
              <c:xMode val="edge"/>
              <c:yMode val="edge"/>
              <c:x val="1.2112917539983762E-2"/>
              <c:y val="0.37332132376441873"/>
            </c:manualLayout>
          </c:layout>
          <c:overlay val="0"/>
          <c:spPr>
            <a:noFill/>
            <a:ln w="25400">
              <a:noFill/>
            </a:ln>
          </c:spPr>
        </c:title>
        <c:numFmt formatCode="0" sourceLinked="0"/>
        <c:majorTickMark val="out"/>
        <c:minorTickMark val="none"/>
        <c:tickLblPos val="nextTo"/>
        <c:spPr>
          <a:ln w="3175">
            <a:solidFill>
              <a:srgbClr val="808080"/>
            </a:solidFill>
            <a:prstDash val="solid"/>
          </a:ln>
        </c:spPr>
        <c:txPr>
          <a:bodyPr rot="0" vert="horz"/>
          <a:lstStyle/>
          <a:p>
            <a:pPr>
              <a:defRPr sz="1000" b="0" i="0" u="none" strike="noStrike" baseline="0">
                <a:solidFill>
                  <a:srgbClr val="003300"/>
                </a:solidFill>
                <a:latin typeface="Arial"/>
                <a:ea typeface="Arial"/>
                <a:cs typeface="Arial"/>
              </a:defRPr>
            </a:pPr>
            <a:endParaRPr lang="sr-Latn-RS"/>
          </a:p>
        </c:txPr>
        <c:crossAx val="381699600"/>
        <c:crosses val="autoZero"/>
        <c:crossBetween val="between"/>
      </c:valAx>
      <c:spPr>
        <a:noFill/>
        <a:ln w="25400">
          <a:noFill/>
        </a:ln>
      </c:spPr>
    </c:plotArea>
    <c:legend>
      <c:legendPos val="r"/>
      <c:layout>
        <c:manualLayout>
          <c:xMode val="edge"/>
          <c:yMode val="edge"/>
          <c:x val="0.83758431321147031"/>
          <c:y val="0.18293256510985229"/>
          <c:w val="0.14747014042787923"/>
          <c:h val="0.60672634094767686"/>
        </c:manualLayout>
      </c:layout>
      <c:overlay val="0"/>
      <c:spPr>
        <a:noFill/>
        <a:ln w="25400">
          <a:noFill/>
        </a:ln>
      </c:spPr>
      <c:txPr>
        <a:bodyPr/>
        <a:lstStyle/>
        <a:p>
          <a:pPr>
            <a:defRPr sz="775" b="0" i="0" u="none" strike="noStrike" baseline="0">
              <a:solidFill>
                <a:srgbClr val="003300"/>
              </a:solidFill>
              <a:latin typeface="Arial"/>
              <a:ea typeface="Arial"/>
              <a:cs typeface="Arial"/>
            </a:defRPr>
          </a:pPr>
          <a:endParaRPr lang="sr-Latn-RS"/>
        </a:p>
      </c:txPr>
    </c:legend>
    <c:plotVisOnly val="1"/>
    <c:dispBlanksAs val="gap"/>
    <c:showDLblsOverMax val="0"/>
  </c:chart>
  <c:spPr>
    <a:solidFill>
      <a:srgbClr val="FFFFFF"/>
    </a:solidFill>
    <a:ln w="3175">
      <a:solidFill>
        <a:srgbClr val="99CC00"/>
      </a:solidFill>
      <a:prstDash val="lgDash"/>
    </a:ln>
  </c:spPr>
  <c:txPr>
    <a:bodyPr/>
    <a:lstStyle/>
    <a:p>
      <a:pPr>
        <a:defRPr sz="1000" b="0" i="0" u="none" strike="noStrike" baseline="0">
          <a:solidFill>
            <a:srgbClr val="003300"/>
          </a:solidFill>
          <a:latin typeface="Arial"/>
          <a:ea typeface="Arial"/>
          <a:cs typeface="Arial"/>
        </a:defRPr>
      </a:pPr>
      <a:endParaRPr lang="sr-Latn-R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hr-H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AAE-4140-B716-4CEEC5108D3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AAE-4140-B716-4CEEC5108D33}"/>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AAE-4140-B716-4CEEC5108D33}"/>
              </c:ext>
            </c:extLst>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r-Latn-RS"/>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'Sum CO2'!$P$2:$R$2</c:f>
              <c:strCache>
                <c:ptCount val="3"/>
                <c:pt idx="0">
                  <c:v>Bulidings</c:v>
                </c:pt>
                <c:pt idx="1">
                  <c:v>Transport</c:v>
                </c:pt>
                <c:pt idx="2">
                  <c:v>Public lighting</c:v>
                </c:pt>
              </c:strCache>
            </c:strRef>
          </c:cat>
          <c:val>
            <c:numRef>
              <c:f>'Sum CO2'!$P$11:$R$11</c:f>
              <c:numCache>
                <c:formatCode>0.00%</c:formatCode>
                <c:ptCount val="3"/>
                <c:pt idx="0">
                  <c:v>0.11959820322733701</c:v>
                </c:pt>
                <c:pt idx="1">
                  <c:v>0.87861823905022851</c:v>
                </c:pt>
                <c:pt idx="2">
                  <c:v>1.7835577224343719E-3</c:v>
                </c:pt>
              </c:numCache>
            </c:numRef>
          </c:val>
          <c:extLst>
            <c:ext xmlns:c16="http://schemas.microsoft.com/office/drawing/2014/chart" uri="{C3380CC4-5D6E-409C-BE32-E72D297353CC}">
              <c16:uniqueId val="{00000006-4AAE-4140-B716-4CEEC5108D33}"/>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r-Latn-RS"/>
        </a:p>
      </c:txPr>
    </c:legend>
    <c:plotVisOnly val="1"/>
    <c:dispBlanksAs val="gap"/>
    <c:showDLblsOverMax val="0"/>
  </c:chart>
  <c:spPr>
    <a:solidFill>
      <a:schemeClr val="bg1"/>
    </a:solidFill>
    <a:ln w="9525" cap="flat" cmpd="sng" algn="ctr">
      <a:noFill/>
      <a:round/>
    </a:ln>
    <a:effectLst/>
  </c:spPr>
  <c:txPr>
    <a:bodyPr/>
    <a:lstStyle/>
    <a:p>
      <a:pPr>
        <a:defRPr/>
      </a:pPr>
      <a:endParaRPr lang="sr-Latn-R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1580FAA-54DC-42FF-B71C-37F429C52C7C}" type="doc">
      <dgm:prSet loTypeId="urn:diagrams.loki3.com/BracketList" loCatId="list" qsTypeId="urn:microsoft.com/office/officeart/2005/8/quickstyle/simple1" qsCatId="simple" csTypeId="urn:microsoft.com/office/officeart/2005/8/colors/colorful5" csCatId="colorful" phldr="1"/>
      <dgm:spPr/>
      <dgm:t>
        <a:bodyPr/>
        <a:lstStyle/>
        <a:p>
          <a:endParaRPr lang="en-US"/>
        </a:p>
      </dgm:t>
    </dgm:pt>
    <dgm:pt modelId="{56AC4472-8EBA-48D7-B3B1-EB210AD2D7E3}">
      <dgm:prSet phldrT="[Text]" custT="1"/>
      <dgm:spPr>
        <a:xfrm>
          <a:off x="3955732" y="7387"/>
          <a:ext cx="1318577" cy="534600"/>
        </a:xfrm>
        <a:prstGeom prst="rect">
          <a:avLst/>
        </a:prstGeom>
        <a:noFill/>
        <a:ln>
          <a:noFill/>
        </a:ln>
        <a:effectLst/>
      </dgm:spPr>
      <dgm:t>
        <a:bodyPr/>
        <a:lstStyle/>
        <a:p>
          <a:pPr>
            <a:buNone/>
          </a:pPr>
          <a:r>
            <a:rPr lang="en-GB" sz="800" b="1">
              <a:solidFill>
                <a:sysClr val="windowText" lastClr="000000">
                  <a:hueOff val="0"/>
                  <a:satOff val="0"/>
                  <a:lumOff val="0"/>
                  <a:alphaOff val="0"/>
                </a:sysClr>
              </a:solidFill>
              <a:latin typeface="Century Gothic" panose="020B0502020202020204" pitchFamily="34" charset="0"/>
              <a:ea typeface="+mn-ea"/>
              <a:cs typeface="+mn-cs"/>
            </a:rPr>
            <a:t>Why we elaborated </a:t>
          </a:r>
          <a:r>
            <a:rPr lang="en-GB" sz="800" b="1">
              <a:solidFill>
                <a:srgbClr val="70AD47">
                  <a:lumMod val="75000"/>
                </a:srgbClr>
              </a:solidFill>
              <a:latin typeface="Century Gothic" panose="020B0502020202020204" pitchFamily="34" charset="0"/>
              <a:ea typeface="+mn-ea"/>
              <a:cs typeface="+mn-cs"/>
            </a:rPr>
            <a:t>updated/upgraded </a:t>
          </a:r>
          <a:r>
            <a:rPr lang="en-GB" sz="800" b="1">
              <a:solidFill>
                <a:sysClr val="windowText" lastClr="000000">
                  <a:hueOff val="0"/>
                  <a:satOff val="0"/>
                  <a:lumOff val="0"/>
                  <a:alphaOff val="0"/>
                </a:sysClr>
              </a:solidFill>
              <a:latin typeface="Century Gothic" panose="020B0502020202020204" pitchFamily="34" charset="0"/>
              <a:ea typeface="+mn-ea"/>
              <a:cs typeface="+mn-cs"/>
            </a:rPr>
            <a:t>our </a:t>
          </a:r>
          <a:r>
            <a:rPr lang="en-GB" sz="800" b="1">
              <a:solidFill>
                <a:srgbClr val="9BBB59">
                  <a:lumMod val="75000"/>
                </a:srgbClr>
              </a:solidFill>
              <a:latin typeface="Century Gothic" panose="020B0502020202020204" pitchFamily="34" charset="0"/>
              <a:ea typeface="+mn-ea"/>
              <a:cs typeface="+mn-cs"/>
            </a:rPr>
            <a:t>SEAP</a:t>
          </a:r>
          <a:r>
            <a:rPr lang="en-GB" sz="800" b="1">
              <a:solidFill>
                <a:sysClr val="windowText" lastClr="000000">
                  <a:hueOff val="0"/>
                  <a:satOff val="0"/>
                  <a:lumOff val="0"/>
                  <a:alphaOff val="0"/>
                </a:sysClr>
              </a:solidFill>
              <a:latin typeface="Century Gothic" panose="020B0502020202020204" pitchFamily="34" charset="0"/>
              <a:ea typeface="+mn-ea"/>
              <a:cs typeface="+mn-cs"/>
            </a:rPr>
            <a:t> /SECAP</a:t>
          </a:r>
          <a:endParaRPr lang="en-US" sz="800" b="1">
            <a:solidFill>
              <a:sysClr val="windowText" lastClr="000000">
                <a:hueOff val="0"/>
                <a:satOff val="0"/>
                <a:lumOff val="0"/>
                <a:alphaOff val="0"/>
              </a:sysClr>
            </a:solidFill>
            <a:latin typeface="Century Gothic" panose="020B0502020202020204" pitchFamily="34" charset="0"/>
            <a:ea typeface="+mn-ea"/>
            <a:cs typeface="+mn-cs"/>
          </a:endParaRPr>
        </a:p>
      </dgm:t>
    </dgm:pt>
    <dgm:pt modelId="{1FA16884-4201-4578-AC20-1415DF80FD9A}" type="parTrans" cxnId="{781DD766-287F-4916-B22D-EE79F8890712}">
      <dgm:prSet/>
      <dgm:spPr/>
      <dgm:t>
        <a:bodyPr/>
        <a:lstStyle/>
        <a:p>
          <a:endParaRPr lang="en-US"/>
        </a:p>
      </dgm:t>
    </dgm:pt>
    <dgm:pt modelId="{893BD6A2-3B1C-4A6D-AF0E-D5EC3A1FCD0D}" type="sibTrans" cxnId="{781DD766-287F-4916-B22D-EE79F8890712}">
      <dgm:prSet/>
      <dgm:spPr/>
      <dgm:t>
        <a:bodyPr/>
        <a:lstStyle/>
        <a:p>
          <a:endParaRPr lang="en-US"/>
        </a:p>
      </dgm:t>
    </dgm:pt>
    <dgm:pt modelId="{9BA36FDD-75F9-477A-9980-1CAFD42318AC}">
      <dgm:prSet custT="1"/>
      <dgm:spPr>
        <a:xfrm>
          <a:off x="3955732" y="1270987"/>
          <a:ext cx="1318577" cy="534600"/>
        </a:xfrm>
        <a:prstGeom prst="rect">
          <a:avLst/>
        </a:prstGeom>
        <a:noFill/>
        <a:ln>
          <a:noFill/>
        </a:ln>
        <a:effectLst/>
      </dgm:spPr>
      <dgm:t>
        <a:bodyPr/>
        <a:lstStyle/>
        <a:p>
          <a:pPr>
            <a:buNone/>
          </a:pPr>
          <a:r>
            <a:rPr lang="en-GB" sz="800" b="1">
              <a:solidFill>
                <a:sysClr val="windowText" lastClr="000000">
                  <a:hueOff val="0"/>
                  <a:satOff val="0"/>
                  <a:lumOff val="0"/>
                  <a:alphaOff val="0"/>
                </a:sysClr>
              </a:solidFill>
              <a:latin typeface="Century Gothic" panose="020B0502020202020204" pitchFamily="34" charset="0"/>
              <a:ea typeface="+mn-ea"/>
              <a:cs typeface="+mn-cs"/>
            </a:rPr>
            <a:t>Emissions and Targets at a glance  </a:t>
          </a:r>
          <a:endParaRPr lang="el-GR" sz="800" b="1">
            <a:solidFill>
              <a:sysClr val="windowText" lastClr="000000">
                <a:hueOff val="0"/>
                <a:satOff val="0"/>
                <a:lumOff val="0"/>
                <a:alphaOff val="0"/>
              </a:sysClr>
            </a:solidFill>
            <a:latin typeface="Century Gothic" panose="020B0502020202020204" pitchFamily="34" charset="0"/>
            <a:ea typeface="+mn-ea"/>
            <a:cs typeface="+mn-cs"/>
          </a:endParaRPr>
        </a:p>
      </dgm:t>
    </dgm:pt>
    <dgm:pt modelId="{1A047B57-D1B9-41EA-8790-8FBFD9ED449F}" type="parTrans" cxnId="{A62F9D53-C6E1-474F-8248-4C0340C8E539}">
      <dgm:prSet/>
      <dgm:spPr/>
      <dgm:t>
        <a:bodyPr/>
        <a:lstStyle/>
        <a:p>
          <a:endParaRPr lang="en-US"/>
        </a:p>
      </dgm:t>
    </dgm:pt>
    <dgm:pt modelId="{64C91CD6-EAA5-4C3D-976D-5BB244135128}" type="sibTrans" cxnId="{A62F9D53-C6E1-474F-8248-4C0340C8E539}">
      <dgm:prSet/>
      <dgm:spPr/>
      <dgm:t>
        <a:bodyPr/>
        <a:lstStyle/>
        <a:p>
          <a:endParaRPr lang="en-US"/>
        </a:p>
      </dgm:t>
    </dgm:pt>
    <dgm:pt modelId="{0DF586A6-4A2B-4043-AE14-4FA313AA290B}">
      <dgm:prSet custT="1"/>
      <dgm:spPr>
        <a:xfrm>
          <a:off x="3955732" y="1902787"/>
          <a:ext cx="1318577" cy="534600"/>
        </a:xfrm>
        <a:prstGeom prst="rect">
          <a:avLst/>
        </a:prstGeom>
        <a:noFill/>
        <a:ln>
          <a:noFill/>
        </a:ln>
        <a:effectLst/>
      </dgm:spPr>
      <dgm:t>
        <a:bodyPr/>
        <a:lstStyle/>
        <a:p>
          <a:pPr>
            <a:buNone/>
          </a:pPr>
          <a:r>
            <a:rPr lang="en-GB" sz="800" b="1">
              <a:solidFill>
                <a:sysClr val="windowText" lastClr="000000">
                  <a:hueOff val="0"/>
                  <a:satOff val="0"/>
                  <a:lumOff val="0"/>
                  <a:alphaOff val="0"/>
                </a:sysClr>
              </a:solidFill>
              <a:latin typeface="Century Gothic" panose="020B0502020202020204" pitchFamily="34" charset="0"/>
              <a:ea typeface="+mn-ea"/>
              <a:cs typeface="+mn-cs"/>
            </a:rPr>
            <a:t>Baseline</a:t>
          </a:r>
          <a:endParaRPr lang="el-GR" sz="800" b="1">
            <a:solidFill>
              <a:sysClr val="windowText" lastClr="000000">
                <a:hueOff val="0"/>
                <a:satOff val="0"/>
                <a:lumOff val="0"/>
                <a:alphaOff val="0"/>
              </a:sysClr>
            </a:solidFill>
            <a:latin typeface="Century Gothic" panose="020B0502020202020204" pitchFamily="34" charset="0"/>
            <a:ea typeface="+mn-ea"/>
            <a:cs typeface="+mn-cs"/>
          </a:endParaRPr>
        </a:p>
      </dgm:t>
    </dgm:pt>
    <dgm:pt modelId="{702D3A9D-CFA7-4154-9938-98C5DF4D9995}" type="parTrans" cxnId="{1D87AB62-ADF5-463E-A88E-7D1499882A4E}">
      <dgm:prSet/>
      <dgm:spPr/>
      <dgm:t>
        <a:bodyPr/>
        <a:lstStyle/>
        <a:p>
          <a:endParaRPr lang="en-US"/>
        </a:p>
      </dgm:t>
    </dgm:pt>
    <dgm:pt modelId="{76F10FDF-41C6-44EF-8C3E-B88BB216381F}" type="sibTrans" cxnId="{1D87AB62-ADF5-463E-A88E-7D1499882A4E}">
      <dgm:prSet/>
      <dgm:spPr/>
      <dgm:t>
        <a:bodyPr/>
        <a:lstStyle/>
        <a:p>
          <a:endParaRPr lang="en-US"/>
        </a:p>
      </dgm:t>
    </dgm:pt>
    <dgm:pt modelId="{A90F2A83-CB59-448C-8433-5B7DF9752F35}">
      <dgm:prSet custT="1"/>
      <dgm:spPr>
        <a:xfrm>
          <a:off x="3955732" y="639187"/>
          <a:ext cx="1318577" cy="534600"/>
        </a:xfrm>
        <a:prstGeom prst="rect">
          <a:avLst/>
        </a:prstGeom>
        <a:noFill/>
        <a:ln>
          <a:noFill/>
        </a:ln>
        <a:effectLst/>
      </dgm:spPr>
      <dgm:t>
        <a:bodyPr/>
        <a:lstStyle/>
        <a:p>
          <a:pPr>
            <a:buNone/>
          </a:pPr>
          <a:r>
            <a:rPr lang="en-GB" sz="800" b="1">
              <a:solidFill>
                <a:sysClr val="windowText" lastClr="000000">
                  <a:hueOff val="0"/>
                  <a:satOff val="0"/>
                  <a:lumOff val="0"/>
                  <a:alphaOff val="0"/>
                </a:sysClr>
              </a:solidFill>
              <a:latin typeface="Century Gothic" panose="020B0502020202020204" pitchFamily="34" charset="0"/>
              <a:ea typeface="+mn-ea"/>
              <a:cs typeface="+mn-cs"/>
            </a:rPr>
            <a:t>Challenges and Opportunities</a:t>
          </a:r>
          <a:endParaRPr lang="el-GR" sz="800" b="1">
            <a:solidFill>
              <a:sysClr val="windowText" lastClr="000000">
                <a:hueOff val="0"/>
                <a:satOff val="0"/>
                <a:lumOff val="0"/>
                <a:alphaOff val="0"/>
              </a:sysClr>
            </a:solidFill>
            <a:latin typeface="Century Gothic" panose="020B0502020202020204" pitchFamily="34" charset="0"/>
            <a:ea typeface="+mn-ea"/>
            <a:cs typeface="+mn-cs"/>
          </a:endParaRPr>
        </a:p>
      </dgm:t>
    </dgm:pt>
    <dgm:pt modelId="{D1279B3C-B462-488B-BD90-4B17BE4C72DB}" type="parTrans" cxnId="{6303EAAA-381F-4909-B46C-A07AAF4D24E8}">
      <dgm:prSet/>
      <dgm:spPr/>
      <dgm:t>
        <a:bodyPr/>
        <a:lstStyle/>
        <a:p>
          <a:endParaRPr lang="en-US"/>
        </a:p>
      </dgm:t>
    </dgm:pt>
    <dgm:pt modelId="{4A298973-D338-4E37-8D4E-5877D0E1CAB0}" type="sibTrans" cxnId="{6303EAAA-381F-4909-B46C-A07AAF4D24E8}">
      <dgm:prSet/>
      <dgm:spPr/>
      <dgm:t>
        <a:bodyPr/>
        <a:lstStyle/>
        <a:p>
          <a:endParaRPr lang="en-US"/>
        </a:p>
      </dgm:t>
    </dgm:pt>
    <dgm:pt modelId="{7726864F-492E-4788-8F59-A3DB682D09D1}">
      <dgm:prSet custT="1"/>
      <dgm:spPr>
        <a:xfrm>
          <a:off x="3955732" y="2534587"/>
          <a:ext cx="1318577" cy="534600"/>
        </a:xfrm>
        <a:prstGeom prst="rect">
          <a:avLst/>
        </a:prstGeom>
        <a:noFill/>
        <a:ln>
          <a:noFill/>
        </a:ln>
        <a:effectLst/>
      </dgm:spPr>
      <dgm:t>
        <a:bodyPr/>
        <a:lstStyle/>
        <a:p>
          <a:pPr>
            <a:buNone/>
          </a:pPr>
          <a:r>
            <a:rPr lang="en-GB" sz="800" b="1">
              <a:solidFill>
                <a:sysClr val="windowText" lastClr="000000">
                  <a:hueOff val="0"/>
                  <a:satOff val="0"/>
                  <a:lumOff val="0"/>
                  <a:alphaOff val="0"/>
                </a:sysClr>
              </a:solidFill>
              <a:latin typeface="Century Gothic" panose="020B0502020202020204" pitchFamily="34" charset="0"/>
              <a:ea typeface="+mn-ea"/>
              <a:cs typeface="+mn-cs"/>
            </a:rPr>
            <a:t>Carbon emissions originate from 3 key sectors</a:t>
          </a:r>
          <a:endParaRPr lang="el-GR" sz="800" b="1">
            <a:solidFill>
              <a:sysClr val="windowText" lastClr="000000">
                <a:hueOff val="0"/>
                <a:satOff val="0"/>
                <a:lumOff val="0"/>
                <a:alphaOff val="0"/>
              </a:sysClr>
            </a:solidFill>
            <a:latin typeface="Century Gothic" panose="020B0502020202020204" pitchFamily="34" charset="0"/>
            <a:ea typeface="+mn-ea"/>
            <a:cs typeface="+mn-cs"/>
          </a:endParaRPr>
        </a:p>
      </dgm:t>
    </dgm:pt>
    <dgm:pt modelId="{02381845-2169-45E9-996E-D8A86C3CE73C}" type="parTrans" cxnId="{4514A066-B84F-475D-B314-C7F39384E7B9}">
      <dgm:prSet/>
      <dgm:spPr/>
      <dgm:t>
        <a:bodyPr/>
        <a:lstStyle/>
        <a:p>
          <a:endParaRPr lang="en-US"/>
        </a:p>
      </dgm:t>
    </dgm:pt>
    <dgm:pt modelId="{72D6433B-7E64-44EF-94DA-4FB97899F387}" type="sibTrans" cxnId="{4514A066-B84F-475D-B314-C7F39384E7B9}">
      <dgm:prSet/>
      <dgm:spPr/>
      <dgm:t>
        <a:bodyPr/>
        <a:lstStyle/>
        <a:p>
          <a:endParaRPr lang="en-US"/>
        </a:p>
      </dgm:t>
    </dgm:pt>
    <dgm:pt modelId="{6E8AFC75-9F44-466B-B97D-5906F8A84AF1}">
      <dgm:prSet phldrT="[Text]" custT="1"/>
      <dgm:spPr>
        <a:xfrm>
          <a:off x="0" y="7387"/>
          <a:ext cx="3586530" cy="53460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Char char="•"/>
          </a:pPr>
          <a:r>
            <a:rPr lang="en-US" sz="800">
              <a:solidFill>
                <a:srgbClr val="ED7D31"/>
              </a:solidFill>
              <a:latin typeface="Century Gothic" panose="020B0502020202020204" pitchFamily="34" charset="0"/>
              <a:ea typeface="+mn-ea"/>
              <a:cs typeface="+mn-cs"/>
            </a:rPr>
            <a:t>to adjust our future activities toward the set up goals</a:t>
          </a:r>
        </a:p>
      </dgm:t>
    </dgm:pt>
    <dgm:pt modelId="{B5DEBE24-0308-4FFB-BF42-A71B5E46019A}" type="parTrans" cxnId="{23D9817C-3E3A-4C14-A74D-78BE1036D7CB}">
      <dgm:prSet/>
      <dgm:spPr/>
      <dgm:t>
        <a:bodyPr/>
        <a:lstStyle/>
        <a:p>
          <a:endParaRPr lang="en-US"/>
        </a:p>
      </dgm:t>
    </dgm:pt>
    <dgm:pt modelId="{F6907CE5-327E-45B9-8580-2BBC8D97DEA3}" type="sibTrans" cxnId="{23D9817C-3E3A-4C14-A74D-78BE1036D7CB}">
      <dgm:prSet/>
      <dgm:spPr/>
      <dgm:t>
        <a:bodyPr/>
        <a:lstStyle/>
        <a:p>
          <a:endParaRPr lang="en-US"/>
        </a:p>
      </dgm:t>
    </dgm:pt>
    <dgm:pt modelId="{42DDA19B-BAC8-483A-BF91-0F64BA795D3E}">
      <dgm:prSet phldrT="[Text]" custT="1"/>
      <dgm:spPr>
        <a:xfrm>
          <a:off x="0" y="1270987"/>
          <a:ext cx="3586530" cy="534600"/>
        </a:xfrm>
        <a:prstGeom prst="rect">
          <a:avLst/>
        </a:prstGeom>
        <a:solidFill>
          <a:srgbClr val="4472C4">
            <a:hueOff val="-3676672"/>
            <a:satOff val="-5114"/>
            <a:lumOff val="-1961"/>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Char char="•"/>
          </a:pPr>
          <a:r>
            <a:rPr lang="en-US" sz="800">
              <a:solidFill>
                <a:srgbClr val="ED7D31"/>
              </a:solidFill>
              <a:latin typeface="Century Gothic" panose="020B0502020202020204" pitchFamily="34" charset="0"/>
              <a:ea typeface="+mn-ea"/>
              <a:cs typeface="+mn-cs"/>
            </a:rPr>
            <a:t>Building sector </a:t>
          </a:r>
          <a:r>
            <a:rPr lang="hr-HR" sz="800">
              <a:solidFill>
                <a:srgbClr val="ED7D31"/>
              </a:solidFill>
              <a:latin typeface="Century Gothic" panose="020B0502020202020204" pitchFamily="34" charset="0"/>
              <a:ea typeface="+mn-ea"/>
              <a:cs typeface="+mn-cs"/>
            </a:rPr>
            <a:t>3,401.91</a:t>
          </a:r>
          <a:r>
            <a:rPr lang="en-US" sz="800">
              <a:solidFill>
                <a:srgbClr val="ED7D31"/>
              </a:solidFill>
              <a:latin typeface="Century Gothic" panose="020B0502020202020204" pitchFamily="34" charset="0"/>
              <a:ea typeface="+mn-ea"/>
              <a:cs typeface="+mn-cs"/>
            </a:rPr>
            <a:t> t CO2 in 2017, target </a:t>
          </a:r>
          <a:r>
            <a:rPr lang="hr-HR" sz="800">
              <a:solidFill>
                <a:srgbClr val="ED7D31"/>
              </a:solidFill>
              <a:latin typeface="Century Gothic" panose="020B0502020202020204" pitchFamily="34" charset="0"/>
              <a:ea typeface="+mn-ea"/>
              <a:cs typeface="+mn-cs"/>
            </a:rPr>
            <a:t>2,035.55</a:t>
          </a:r>
          <a:r>
            <a:rPr lang="en-US" sz="800">
              <a:solidFill>
                <a:srgbClr val="ED7D31"/>
              </a:solidFill>
              <a:latin typeface="Century Gothic" panose="020B0502020202020204" pitchFamily="34" charset="0"/>
              <a:ea typeface="+mn-ea"/>
              <a:cs typeface="+mn-cs"/>
            </a:rPr>
            <a:t> t CO2 in 2030</a:t>
          </a:r>
          <a:endParaRPr lang="el-GR" sz="800">
            <a:solidFill>
              <a:srgbClr val="ED7D31"/>
            </a:solidFill>
            <a:latin typeface="Century Gothic" panose="020B0502020202020204" pitchFamily="34" charset="0"/>
            <a:ea typeface="+mn-ea"/>
            <a:cs typeface="+mn-cs"/>
          </a:endParaRPr>
        </a:p>
      </dgm:t>
    </dgm:pt>
    <dgm:pt modelId="{9FD1FAAE-2382-44EE-9558-DED4B00E172E}" type="parTrans" cxnId="{E2C1A28F-70D3-45AD-9834-6EDB72CC3349}">
      <dgm:prSet/>
      <dgm:spPr/>
      <dgm:t>
        <a:bodyPr/>
        <a:lstStyle/>
        <a:p>
          <a:endParaRPr lang="en-US"/>
        </a:p>
      </dgm:t>
    </dgm:pt>
    <dgm:pt modelId="{F2D30A36-A6DD-45A3-A6DF-A880600A9CAA}" type="sibTrans" cxnId="{E2C1A28F-70D3-45AD-9834-6EDB72CC3349}">
      <dgm:prSet/>
      <dgm:spPr/>
      <dgm:t>
        <a:bodyPr/>
        <a:lstStyle/>
        <a:p>
          <a:endParaRPr lang="en-US"/>
        </a:p>
      </dgm:t>
    </dgm:pt>
    <dgm:pt modelId="{14950E4A-9C24-49FD-BDB7-B7DDD8EC1FD1}">
      <dgm:prSet phldrT="[Text]" custT="1"/>
      <dgm:spPr>
        <a:xfrm>
          <a:off x="0" y="1902787"/>
          <a:ext cx="3586530" cy="534600"/>
        </a:xfrm>
        <a:prstGeom prst="rect">
          <a:avLst/>
        </a:prstGeom>
        <a:solidFill>
          <a:srgbClr val="4472C4">
            <a:hueOff val="-5515009"/>
            <a:satOff val="-7671"/>
            <a:lumOff val="-2942"/>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Char char="•"/>
          </a:pPr>
          <a:r>
            <a:rPr lang="en-GB" sz="800" b="0" i="0">
              <a:solidFill>
                <a:sysClr val="window" lastClr="FFFFFF"/>
              </a:solidFill>
              <a:latin typeface="Century Gothic" panose="020B0502020202020204" pitchFamily="34" charset="0"/>
              <a:ea typeface="+mn-ea"/>
              <a:cs typeface="+mn-cs"/>
            </a:rPr>
            <a:t>The Baseline Year for the </a:t>
          </a:r>
          <a:r>
            <a:rPr lang="en-GB" sz="800" b="0" i="0">
              <a:solidFill>
                <a:srgbClr val="ED7D31"/>
              </a:solidFill>
              <a:latin typeface="Century Gothic" panose="020B0502020202020204" pitchFamily="34" charset="0"/>
              <a:ea typeface="+mn-ea"/>
              <a:cs typeface="+mn-cs"/>
            </a:rPr>
            <a:t>SEAP</a:t>
          </a:r>
          <a:r>
            <a:rPr lang="hr-HR" sz="800" b="0" i="0">
              <a:solidFill>
                <a:srgbClr val="ED7D31"/>
              </a:solidFill>
              <a:latin typeface="Century Gothic" panose="020B0502020202020204" pitchFamily="34" charset="0"/>
              <a:ea typeface="+mn-ea"/>
              <a:cs typeface="+mn-cs"/>
            </a:rPr>
            <a:t> </a:t>
          </a:r>
          <a:r>
            <a:rPr lang="en-GB" sz="800" b="0" i="0">
              <a:solidFill>
                <a:srgbClr val="ED7D31"/>
              </a:solidFill>
              <a:latin typeface="Century Gothic" panose="020B0502020202020204" pitchFamily="34" charset="0"/>
              <a:ea typeface="+mn-ea"/>
              <a:cs typeface="+mn-cs"/>
            </a:rPr>
            <a:t>is 20</a:t>
          </a:r>
          <a:r>
            <a:rPr lang="hr-HR" sz="800" b="0" i="0">
              <a:solidFill>
                <a:srgbClr val="ED7D31"/>
              </a:solidFill>
              <a:latin typeface="Century Gothic" panose="020B0502020202020204" pitchFamily="34" charset="0"/>
              <a:ea typeface="+mn-ea"/>
              <a:cs typeface="+mn-cs"/>
            </a:rPr>
            <a:t>17</a:t>
          </a:r>
          <a:r>
            <a:rPr lang="en-GB" sz="800" b="0" i="0">
              <a:solidFill>
                <a:sysClr val="window" lastClr="FFFFFF"/>
              </a:solidFill>
              <a:latin typeface="Century Gothic" panose="020B0502020202020204" pitchFamily="34" charset="0"/>
              <a:ea typeface="+mn-ea"/>
              <a:cs typeface="+mn-cs"/>
            </a:rPr>
            <a:t>.</a:t>
          </a:r>
          <a:br>
            <a:rPr lang="en-GB" sz="800" b="0" i="0">
              <a:solidFill>
                <a:sysClr val="window" lastClr="FFFFFF"/>
              </a:solidFill>
              <a:latin typeface="Century Gothic" panose="020B0502020202020204" pitchFamily="34" charset="0"/>
              <a:ea typeface="+mn-ea"/>
              <a:cs typeface="+mn-cs"/>
            </a:rPr>
          </a:br>
          <a:r>
            <a:rPr lang="en-GB" sz="800" b="0" i="0">
              <a:solidFill>
                <a:srgbClr val="70AD47">
                  <a:lumMod val="75000"/>
                </a:srgbClr>
              </a:solidFill>
              <a:latin typeface="Century Gothic" panose="020B0502020202020204" pitchFamily="34" charset="0"/>
              <a:ea typeface="+mn-ea"/>
              <a:cs typeface="+mn-cs"/>
            </a:rPr>
            <a:t>The </a:t>
          </a:r>
          <a:r>
            <a:rPr lang="hr-HR" sz="800" b="0" i="0">
              <a:solidFill>
                <a:srgbClr val="70AD47">
                  <a:lumMod val="75000"/>
                </a:srgbClr>
              </a:solidFill>
              <a:latin typeface="Century Gothic" panose="020B0502020202020204" pitchFamily="34" charset="0"/>
              <a:ea typeface="+mn-ea"/>
              <a:cs typeface="+mn-cs"/>
            </a:rPr>
            <a:t>BEI </a:t>
          </a:r>
          <a:r>
            <a:rPr lang="en-GB" sz="800" b="0" i="0">
              <a:solidFill>
                <a:srgbClr val="70AD47">
                  <a:lumMod val="75000"/>
                </a:srgbClr>
              </a:solidFill>
              <a:latin typeface="Century Gothic" panose="020B0502020202020204" pitchFamily="34" charset="0"/>
              <a:ea typeface="+mn-ea"/>
              <a:cs typeface="+mn-cs"/>
            </a:rPr>
            <a:t>(20</a:t>
          </a:r>
          <a:r>
            <a:rPr lang="hr-HR" sz="800" b="0" i="0">
              <a:solidFill>
                <a:srgbClr val="ED7D31"/>
              </a:solidFill>
              <a:latin typeface="Century Gothic" panose="020B0502020202020204" pitchFamily="34" charset="0"/>
              <a:ea typeface="+mn-ea"/>
              <a:cs typeface="+mn-cs"/>
            </a:rPr>
            <a:t>17</a:t>
          </a:r>
          <a:r>
            <a:rPr lang="en-GB" sz="800" b="0" i="0">
              <a:solidFill>
                <a:srgbClr val="70AD47">
                  <a:lumMod val="75000"/>
                </a:srgbClr>
              </a:solidFill>
              <a:latin typeface="Century Gothic" panose="020B0502020202020204" pitchFamily="34" charset="0"/>
              <a:ea typeface="+mn-ea"/>
              <a:cs typeface="+mn-cs"/>
            </a:rPr>
            <a:t>) indicates</a:t>
          </a:r>
          <a:r>
            <a:rPr lang="el-GR" sz="800" b="0" i="0">
              <a:solidFill>
                <a:srgbClr val="70AD47">
                  <a:lumMod val="75000"/>
                </a:srgbClr>
              </a:solidFill>
              <a:latin typeface="Century Gothic" panose="020B0502020202020204" pitchFamily="34" charset="0"/>
              <a:ea typeface="+mn-ea"/>
              <a:cs typeface="+mn-cs"/>
            </a:rPr>
            <a:t> </a:t>
          </a:r>
          <a:r>
            <a:rPr lang="en-GB" sz="800" b="0" i="0">
              <a:solidFill>
                <a:srgbClr val="70AD47">
                  <a:lumMod val="75000"/>
                </a:srgbClr>
              </a:solidFill>
              <a:latin typeface="Century Gothic" panose="020B0502020202020204" pitchFamily="34" charset="0"/>
              <a:ea typeface="+mn-ea"/>
              <a:cs typeface="+mn-cs"/>
            </a:rPr>
            <a:t>that</a:t>
          </a:r>
          <a:r>
            <a:rPr lang="el-GR" sz="800" b="0" i="0">
              <a:solidFill>
                <a:srgbClr val="70AD47">
                  <a:lumMod val="75000"/>
                </a:srgbClr>
              </a:solidFill>
              <a:latin typeface="Century Gothic" panose="020B0502020202020204" pitchFamily="34" charset="0"/>
              <a:ea typeface="+mn-ea"/>
              <a:cs typeface="+mn-cs"/>
            </a:rPr>
            <a:t> </a:t>
          </a:r>
          <a:r>
            <a:rPr lang="en-GB" sz="800" b="0" i="0">
              <a:solidFill>
                <a:srgbClr val="70AD47">
                  <a:lumMod val="75000"/>
                </a:srgbClr>
              </a:solidFill>
              <a:latin typeface="Century Gothic" panose="020B0502020202020204" pitchFamily="34" charset="0"/>
              <a:ea typeface="+mn-ea"/>
              <a:cs typeface="+mn-cs"/>
            </a:rPr>
            <a:t>the o</a:t>
          </a:r>
          <a:r>
            <a:rPr lang="en-GB" sz="800" b="0" i="0" u="none">
              <a:solidFill>
                <a:srgbClr val="70AD47">
                  <a:lumMod val="75000"/>
                </a:srgbClr>
              </a:solidFill>
              <a:latin typeface="Century Gothic" panose="020B0502020202020204" pitchFamily="34" charset="0"/>
              <a:ea typeface="+mn-ea"/>
              <a:cs typeface="+mn-cs"/>
            </a:rPr>
            <a:t>verall estimated GHG reduction associated with all actions will be </a:t>
          </a:r>
          <a:r>
            <a:rPr lang="en-GB" sz="800" b="0" i="0" u="none">
              <a:solidFill>
                <a:srgbClr val="ED7D31"/>
              </a:solidFill>
              <a:latin typeface="Century Gothic" panose="020B0502020202020204" pitchFamily="34" charset="0"/>
              <a:ea typeface="+mn-ea"/>
              <a:cs typeface="+mn-cs"/>
            </a:rPr>
            <a:t>in 2030 </a:t>
          </a:r>
          <a:r>
            <a:rPr lang="hr-HR" sz="800" b="0" i="0" u="none">
              <a:solidFill>
                <a:sysClr val="windowText" lastClr="000000"/>
              </a:solidFill>
              <a:latin typeface="Century Gothic" panose="020B0502020202020204" pitchFamily="34" charset="0"/>
              <a:ea typeface="+mn-ea"/>
              <a:cs typeface="+mn-cs"/>
            </a:rPr>
            <a:t>11,377.56 t CO</a:t>
          </a:r>
          <a:r>
            <a:rPr lang="hr-HR" sz="800" b="0" i="0" u="none" baseline="-25000">
              <a:solidFill>
                <a:sysClr val="windowText" lastClr="000000"/>
              </a:solidFill>
              <a:latin typeface="Century Gothic" panose="020B0502020202020204" pitchFamily="34" charset="0"/>
              <a:ea typeface="+mn-ea"/>
              <a:cs typeface="+mn-cs"/>
            </a:rPr>
            <a:t>2</a:t>
          </a:r>
          <a:r>
            <a:rPr lang="hr-HR" sz="800" b="0" i="0" u="none">
              <a:solidFill>
                <a:sysClr val="windowText" lastClr="000000"/>
              </a:solidFill>
              <a:latin typeface="Century Gothic" panose="020B0502020202020204" pitchFamily="34" charset="0"/>
              <a:ea typeface="+mn-ea"/>
              <a:cs typeface="+mn-cs"/>
            </a:rPr>
            <a:t>.</a:t>
          </a:r>
          <a:endParaRPr lang="el-GR" sz="800">
            <a:solidFill>
              <a:srgbClr val="ED7D31"/>
            </a:solidFill>
            <a:latin typeface="Century Gothic" panose="020B0502020202020204" pitchFamily="34" charset="0"/>
            <a:ea typeface="+mn-ea"/>
            <a:cs typeface="+mn-cs"/>
          </a:endParaRPr>
        </a:p>
      </dgm:t>
    </dgm:pt>
    <dgm:pt modelId="{4D6D4606-C4C1-4694-A290-FDCF09004CAD}" type="parTrans" cxnId="{19FB13C6-AD0A-4E13-943D-0DE350CA9421}">
      <dgm:prSet/>
      <dgm:spPr/>
      <dgm:t>
        <a:bodyPr/>
        <a:lstStyle/>
        <a:p>
          <a:endParaRPr lang="en-US"/>
        </a:p>
      </dgm:t>
    </dgm:pt>
    <dgm:pt modelId="{58C413B8-4A93-4294-AAC1-56FE37C6B751}" type="sibTrans" cxnId="{19FB13C6-AD0A-4E13-943D-0DE350CA9421}">
      <dgm:prSet/>
      <dgm:spPr/>
      <dgm:t>
        <a:bodyPr/>
        <a:lstStyle/>
        <a:p>
          <a:endParaRPr lang="en-US"/>
        </a:p>
      </dgm:t>
    </dgm:pt>
    <dgm:pt modelId="{8B8E3CE5-E479-4FC5-8A5F-B295C9342B6E}">
      <dgm:prSet phldrT="[Text]" custT="1"/>
      <dgm:spPr>
        <a:xfrm>
          <a:off x="0" y="2534587"/>
          <a:ext cx="3586530" cy="534600"/>
        </a:xfrm>
        <a:prstGeom prst="rect">
          <a:avLst/>
        </a:prstGeom>
        <a:solidFill>
          <a:srgbClr val="4472C4">
            <a:hueOff val="-7353344"/>
            <a:satOff val="-10228"/>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Char char="•"/>
          </a:pPr>
          <a:r>
            <a:rPr lang="en-GB" sz="800" b="0" i="0" u="none">
              <a:solidFill>
                <a:sysClr val="window" lastClr="FFFFFF"/>
              </a:solidFill>
              <a:latin typeface="Century Gothic" panose="020B0502020202020204" pitchFamily="34" charset="0"/>
              <a:ea typeface="+mn-ea"/>
              <a:cs typeface="+mn-cs"/>
            </a:rPr>
            <a:t>Buildings, Equipment/Facilities and Industries </a:t>
          </a:r>
          <a:r>
            <a:rPr lang="en-GB" sz="800" b="0" i="0">
              <a:solidFill>
                <a:sysClr val="window" lastClr="FFFFFF"/>
              </a:solidFill>
              <a:latin typeface="Century Gothic" panose="020B0502020202020204" pitchFamily="34" charset="0"/>
              <a:ea typeface="+mn-ea"/>
              <a:cs typeface="+mn-cs"/>
            </a:rPr>
            <a:t>(</a:t>
          </a:r>
          <a:r>
            <a:rPr lang="hr-HR" sz="800" b="0" i="0">
              <a:solidFill>
                <a:srgbClr val="ED7D31"/>
              </a:solidFill>
              <a:latin typeface="Century Gothic" panose="020B0502020202020204" pitchFamily="34" charset="0"/>
              <a:ea typeface="+mn-ea"/>
              <a:cs typeface="+mn-cs"/>
            </a:rPr>
            <a:t>11.96</a:t>
          </a:r>
          <a:r>
            <a:rPr lang="en-GB" sz="800" b="0" i="0">
              <a:solidFill>
                <a:srgbClr val="ED7D31"/>
              </a:solidFill>
              <a:latin typeface="Century Gothic" panose="020B0502020202020204" pitchFamily="34" charset="0"/>
              <a:ea typeface="+mn-ea"/>
              <a:cs typeface="+mn-cs"/>
            </a:rPr>
            <a:t>%</a:t>
          </a:r>
          <a:r>
            <a:rPr lang="en-GB" sz="800" b="0" i="0">
              <a:solidFill>
                <a:sysClr val="window" lastClr="FFFFFF"/>
              </a:solidFill>
              <a:latin typeface="Century Gothic" panose="020B0502020202020204" pitchFamily="34" charset="0"/>
              <a:ea typeface="+mn-ea"/>
              <a:cs typeface="+mn-cs"/>
            </a:rPr>
            <a:t>),</a:t>
          </a:r>
          <a:endParaRPr lang="el-GR" sz="800" b="0">
            <a:solidFill>
              <a:sysClr val="window" lastClr="FFFFFF"/>
            </a:solidFill>
            <a:latin typeface="Century Gothic" panose="020B0502020202020204" pitchFamily="34" charset="0"/>
            <a:ea typeface="+mn-ea"/>
            <a:cs typeface="+mn-cs"/>
          </a:endParaRPr>
        </a:p>
      </dgm:t>
    </dgm:pt>
    <dgm:pt modelId="{C8657297-1237-4014-8646-0459E6710BBE}" type="parTrans" cxnId="{9178507F-3144-4B21-B9EE-370017141996}">
      <dgm:prSet/>
      <dgm:spPr/>
      <dgm:t>
        <a:bodyPr/>
        <a:lstStyle/>
        <a:p>
          <a:endParaRPr lang="en-US"/>
        </a:p>
      </dgm:t>
    </dgm:pt>
    <dgm:pt modelId="{98EFE610-61CA-460B-9E9A-BDAF4D944B0E}" type="sibTrans" cxnId="{9178507F-3144-4B21-B9EE-370017141996}">
      <dgm:prSet/>
      <dgm:spPr/>
      <dgm:t>
        <a:bodyPr/>
        <a:lstStyle/>
        <a:p>
          <a:endParaRPr lang="en-US"/>
        </a:p>
      </dgm:t>
    </dgm:pt>
    <dgm:pt modelId="{61CBAF53-0CE0-4543-B616-7273519716B1}">
      <dgm:prSet phldrT="[Text]" custT="1"/>
      <dgm:spPr>
        <a:xfrm>
          <a:off x="0" y="639187"/>
          <a:ext cx="3586530" cy="534600"/>
        </a:xfrm>
        <a:prstGeom prst="rect">
          <a:avLst/>
        </a:prstGeom>
        <a:solidFill>
          <a:srgbClr val="4472C4">
            <a:hueOff val="-1838336"/>
            <a:satOff val="-2557"/>
            <a:lumOff val="-981"/>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Char char="•"/>
          </a:pPr>
          <a:r>
            <a:rPr lang="hr-HR" sz="800">
              <a:solidFill>
                <a:srgbClr val="ED7D31"/>
              </a:solidFill>
              <a:latin typeface="Century Gothic" panose="020B0502020202020204" pitchFamily="34" charset="0"/>
              <a:ea typeface="+mn-ea"/>
              <a:cs typeface="+mn-cs"/>
            </a:rPr>
            <a:t>lack of human resources</a:t>
          </a:r>
          <a:endParaRPr lang="el-GR" sz="800">
            <a:solidFill>
              <a:srgbClr val="ED7D31"/>
            </a:solidFill>
            <a:latin typeface="Century Gothic" panose="020B0502020202020204" pitchFamily="34" charset="0"/>
            <a:ea typeface="+mn-ea"/>
            <a:cs typeface="+mn-cs"/>
          </a:endParaRPr>
        </a:p>
      </dgm:t>
    </dgm:pt>
    <dgm:pt modelId="{01BCF663-14F5-4551-AC5C-7ACB79E45CA6}" type="parTrans" cxnId="{4B377C87-DEB4-48F7-80E4-453AEF5598A9}">
      <dgm:prSet/>
      <dgm:spPr/>
      <dgm:t>
        <a:bodyPr/>
        <a:lstStyle/>
        <a:p>
          <a:endParaRPr lang="en-US"/>
        </a:p>
      </dgm:t>
    </dgm:pt>
    <dgm:pt modelId="{86FC1CB9-38C0-49D0-9ADC-A8C1CD3D8477}" type="sibTrans" cxnId="{4B377C87-DEB4-48F7-80E4-453AEF5598A9}">
      <dgm:prSet/>
      <dgm:spPr/>
      <dgm:t>
        <a:bodyPr/>
        <a:lstStyle/>
        <a:p>
          <a:endParaRPr lang="en-US"/>
        </a:p>
      </dgm:t>
    </dgm:pt>
    <dgm:pt modelId="{66DFC467-3687-446A-BEE3-8C82E5F1D499}">
      <dgm:prSet phldrT="[Text]" custT="1"/>
      <dgm:spPr>
        <a:xfrm>
          <a:off x="0" y="2534587"/>
          <a:ext cx="3586530" cy="534600"/>
        </a:xfrm>
        <a:prstGeom prst="rect">
          <a:avLst/>
        </a:prstGeom>
        <a:solidFill>
          <a:srgbClr val="4472C4">
            <a:hueOff val="-7353344"/>
            <a:satOff val="-10228"/>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Char char="•"/>
          </a:pPr>
          <a:r>
            <a:rPr lang="hr-HR" sz="800" b="0" i="0" u="none">
              <a:solidFill>
                <a:sysClr val="window" lastClr="FFFFFF"/>
              </a:solidFill>
              <a:latin typeface="Century Gothic" panose="020B0502020202020204" pitchFamily="34" charset="0"/>
              <a:ea typeface="+mn-ea"/>
              <a:cs typeface="+mn-cs"/>
            </a:rPr>
            <a:t>Public lighting</a:t>
          </a:r>
          <a:r>
            <a:rPr lang="en-GB" sz="800" b="0" i="0" u="none">
              <a:solidFill>
                <a:sysClr val="window" lastClr="FFFFFF"/>
              </a:solidFill>
              <a:latin typeface="Century Gothic" panose="020B0502020202020204" pitchFamily="34" charset="0"/>
              <a:ea typeface="+mn-ea"/>
              <a:cs typeface="+mn-cs"/>
            </a:rPr>
            <a:t> </a:t>
          </a:r>
          <a:r>
            <a:rPr lang="en-GB" sz="800" b="0" i="0">
              <a:solidFill>
                <a:sysClr val="window" lastClr="FFFFFF"/>
              </a:solidFill>
              <a:latin typeface="Century Gothic" panose="020B0502020202020204" pitchFamily="34" charset="0"/>
              <a:ea typeface="+mn-ea"/>
              <a:cs typeface="+mn-cs"/>
            </a:rPr>
            <a:t> (</a:t>
          </a:r>
          <a:r>
            <a:rPr lang="hr-HR" sz="800" b="0" i="0">
              <a:solidFill>
                <a:srgbClr val="ED7D31"/>
              </a:solidFill>
              <a:latin typeface="Century Gothic" panose="020B0502020202020204" pitchFamily="34" charset="0"/>
              <a:ea typeface="+mn-ea"/>
              <a:cs typeface="+mn-cs"/>
            </a:rPr>
            <a:t>0.18</a:t>
          </a:r>
          <a:r>
            <a:rPr lang="en-GB" sz="800" b="0" i="0">
              <a:solidFill>
                <a:srgbClr val="ED7D31"/>
              </a:solidFill>
              <a:latin typeface="Century Gothic" panose="020B0502020202020204" pitchFamily="34" charset="0"/>
              <a:ea typeface="+mn-ea"/>
              <a:cs typeface="+mn-cs"/>
            </a:rPr>
            <a:t>%</a:t>
          </a:r>
          <a:r>
            <a:rPr lang="en-GB" sz="800" b="0" i="0">
              <a:solidFill>
                <a:sysClr val="window" lastClr="FFFFFF"/>
              </a:solidFill>
              <a:latin typeface="Century Gothic" panose="020B0502020202020204" pitchFamily="34" charset="0"/>
              <a:ea typeface="+mn-ea"/>
              <a:cs typeface="+mn-cs"/>
            </a:rPr>
            <a:t>)</a:t>
          </a:r>
          <a:endParaRPr lang="el-GR" sz="800" b="0">
            <a:solidFill>
              <a:sysClr val="window" lastClr="FFFFFF"/>
            </a:solidFill>
            <a:latin typeface="Century Gothic" panose="020B0502020202020204" pitchFamily="34" charset="0"/>
            <a:ea typeface="+mn-ea"/>
            <a:cs typeface="+mn-cs"/>
          </a:endParaRPr>
        </a:p>
      </dgm:t>
    </dgm:pt>
    <dgm:pt modelId="{10737807-C998-48AB-8DAA-A745C53BAA91}" type="parTrans" cxnId="{AF3C9B83-66D7-457C-A62B-3D9F4EF53ADA}">
      <dgm:prSet/>
      <dgm:spPr/>
      <dgm:t>
        <a:bodyPr/>
        <a:lstStyle/>
        <a:p>
          <a:endParaRPr lang="en-US"/>
        </a:p>
      </dgm:t>
    </dgm:pt>
    <dgm:pt modelId="{2F71259C-AEAA-43D6-8373-D2FF48010730}" type="sibTrans" cxnId="{AF3C9B83-66D7-457C-A62B-3D9F4EF53ADA}">
      <dgm:prSet/>
      <dgm:spPr/>
      <dgm:t>
        <a:bodyPr/>
        <a:lstStyle/>
        <a:p>
          <a:endParaRPr lang="en-US"/>
        </a:p>
      </dgm:t>
    </dgm:pt>
    <dgm:pt modelId="{E06A17C0-0094-4A45-988E-F6250BC65A0A}">
      <dgm:prSet phldrT="[Text]" custT="1"/>
      <dgm:spPr>
        <a:xfrm>
          <a:off x="0" y="2534587"/>
          <a:ext cx="3586530" cy="534600"/>
        </a:xfrm>
        <a:prstGeom prst="rect">
          <a:avLst/>
        </a:prstGeom>
        <a:solidFill>
          <a:srgbClr val="4472C4">
            <a:hueOff val="-7353344"/>
            <a:satOff val="-10228"/>
            <a:lumOff val="-3922"/>
            <a:alphaOff val="0"/>
          </a:srgbClr>
        </a:solidFill>
        <a:ln w="12700" cap="flat" cmpd="sng" algn="ctr">
          <a:solidFill>
            <a:sysClr val="window" lastClr="FFFFFF">
              <a:hueOff val="0"/>
              <a:satOff val="0"/>
              <a:lumOff val="0"/>
              <a:alphaOff val="0"/>
            </a:sysClr>
          </a:solidFill>
          <a:prstDash val="solid"/>
          <a:miter lim="800000"/>
        </a:ln>
        <a:effectLst/>
      </dgm:spPr>
      <dgm:t>
        <a:bodyPr/>
        <a:lstStyle/>
        <a:p>
          <a:pPr>
            <a:buChar char="•"/>
          </a:pPr>
          <a:r>
            <a:rPr lang="en-GB" sz="800" b="0" i="0" u="none">
              <a:solidFill>
                <a:sysClr val="window" lastClr="FFFFFF"/>
              </a:solidFill>
              <a:latin typeface="Century Gothic" panose="020B0502020202020204" pitchFamily="34" charset="0"/>
              <a:ea typeface="+mn-ea"/>
              <a:cs typeface="+mn-cs"/>
            </a:rPr>
            <a:t>Transport (</a:t>
          </a:r>
          <a:r>
            <a:rPr lang="hr-HR" sz="800" b="0" i="0">
              <a:solidFill>
                <a:srgbClr val="ED7D31"/>
              </a:solidFill>
              <a:latin typeface="Century Gothic" panose="020B0502020202020204" pitchFamily="34" charset="0"/>
              <a:ea typeface="+mn-ea"/>
              <a:cs typeface="+mn-cs"/>
            </a:rPr>
            <a:t>87.86</a:t>
          </a:r>
          <a:r>
            <a:rPr lang="en-GB" sz="800" b="0" i="0">
              <a:solidFill>
                <a:srgbClr val="ED7D31"/>
              </a:solidFill>
              <a:latin typeface="Century Gothic" panose="020B0502020202020204" pitchFamily="34" charset="0"/>
              <a:ea typeface="+mn-ea"/>
              <a:cs typeface="+mn-cs"/>
            </a:rPr>
            <a:t>%</a:t>
          </a:r>
          <a:r>
            <a:rPr lang="en-GB" sz="800" b="0" i="0" u="none">
              <a:solidFill>
                <a:sysClr val="window" lastClr="FFFFFF"/>
              </a:solidFill>
              <a:latin typeface="Century Gothic" panose="020B0502020202020204" pitchFamily="34" charset="0"/>
              <a:ea typeface="+mn-ea"/>
              <a:cs typeface="+mn-cs"/>
            </a:rPr>
            <a:t>)</a:t>
          </a:r>
          <a:endParaRPr lang="el-GR" sz="800" b="0">
            <a:solidFill>
              <a:sysClr val="window" lastClr="FFFFFF"/>
            </a:solidFill>
            <a:latin typeface="Century Gothic" panose="020B0502020202020204" pitchFamily="34" charset="0"/>
            <a:ea typeface="+mn-ea"/>
            <a:cs typeface="+mn-cs"/>
          </a:endParaRPr>
        </a:p>
      </dgm:t>
    </dgm:pt>
    <dgm:pt modelId="{304351FB-89A0-4700-A630-D24567F903C7}" type="parTrans" cxnId="{3DA3F6F8-86A9-45AE-8D69-1481B58AB037}">
      <dgm:prSet/>
      <dgm:spPr/>
      <dgm:t>
        <a:bodyPr/>
        <a:lstStyle/>
        <a:p>
          <a:endParaRPr lang="en-US"/>
        </a:p>
      </dgm:t>
    </dgm:pt>
    <dgm:pt modelId="{038CA7AD-3FEE-458F-A82F-26967194E18E}" type="sibTrans" cxnId="{3DA3F6F8-86A9-45AE-8D69-1481B58AB037}">
      <dgm:prSet/>
      <dgm:spPr/>
      <dgm:t>
        <a:bodyPr/>
        <a:lstStyle/>
        <a:p>
          <a:endParaRPr lang="en-US"/>
        </a:p>
      </dgm:t>
    </dgm:pt>
    <dgm:pt modelId="{3D54CCD1-F893-4D7A-8DEF-03262622B008}">
      <dgm:prSet custT="1"/>
      <dgm:spPr/>
      <dgm:t>
        <a:bodyPr/>
        <a:lstStyle/>
        <a:p>
          <a:pPr>
            <a:buChar char="•"/>
          </a:pPr>
          <a:r>
            <a:rPr lang="hr-HR" sz="800">
              <a:solidFill>
                <a:srgbClr val="ED7D31"/>
              </a:solidFill>
              <a:latin typeface="Century Gothic" panose="020B0502020202020204" pitchFamily="34" charset="0"/>
              <a:ea typeface="+mn-ea"/>
              <a:cs typeface="+mn-cs"/>
            </a:rPr>
            <a:t>unavailability of data</a:t>
          </a:r>
        </a:p>
      </dgm:t>
    </dgm:pt>
    <dgm:pt modelId="{30F196AA-671E-4633-B620-D75F70990A88}" type="parTrans" cxnId="{049E1C55-9777-4A02-85F4-FF7A6545DE59}">
      <dgm:prSet/>
      <dgm:spPr/>
      <dgm:t>
        <a:bodyPr/>
        <a:lstStyle/>
        <a:p>
          <a:endParaRPr lang="hr-HR"/>
        </a:p>
      </dgm:t>
    </dgm:pt>
    <dgm:pt modelId="{14026A55-D738-4586-A743-5212BEADC90A}" type="sibTrans" cxnId="{049E1C55-9777-4A02-85F4-FF7A6545DE59}">
      <dgm:prSet/>
      <dgm:spPr/>
      <dgm:t>
        <a:bodyPr/>
        <a:lstStyle/>
        <a:p>
          <a:endParaRPr lang="hr-HR"/>
        </a:p>
      </dgm:t>
    </dgm:pt>
    <dgm:pt modelId="{D66DF7CE-A3EB-40A3-9337-24EF7C3489C0}">
      <dgm:prSet custT="1"/>
      <dgm:spPr/>
      <dgm:t>
        <a:bodyPr/>
        <a:lstStyle/>
        <a:p>
          <a:pPr>
            <a:buChar char="•"/>
          </a:pPr>
          <a:r>
            <a:rPr lang="hr-HR" sz="800">
              <a:solidFill>
                <a:srgbClr val="ED7D31"/>
              </a:solidFill>
              <a:latin typeface="Century Gothic" panose="020B0502020202020204" pitchFamily="34" charset="0"/>
              <a:ea typeface="+mn-ea"/>
              <a:cs typeface="+mn-cs"/>
            </a:rPr>
            <a:t>data exactness and credibility</a:t>
          </a:r>
        </a:p>
      </dgm:t>
    </dgm:pt>
    <dgm:pt modelId="{1806E231-548A-4046-8C85-26F607B2C676}" type="parTrans" cxnId="{B2B7BCF2-E56E-4870-BAB7-F77655719E05}">
      <dgm:prSet/>
      <dgm:spPr/>
      <dgm:t>
        <a:bodyPr/>
        <a:lstStyle/>
        <a:p>
          <a:endParaRPr lang="hr-HR"/>
        </a:p>
      </dgm:t>
    </dgm:pt>
    <dgm:pt modelId="{664CCF76-9515-4996-A011-D312B4FB3D20}" type="sibTrans" cxnId="{B2B7BCF2-E56E-4870-BAB7-F77655719E05}">
      <dgm:prSet/>
      <dgm:spPr/>
      <dgm:t>
        <a:bodyPr/>
        <a:lstStyle/>
        <a:p>
          <a:endParaRPr lang="hr-HR"/>
        </a:p>
      </dgm:t>
    </dgm:pt>
    <dgm:pt modelId="{8F10AC3C-F1C9-42C7-8D81-565A2E118E30}">
      <dgm:prSet custT="1"/>
      <dgm:spPr/>
      <dgm:t>
        <a:bodyPr/>
        <a:lstStyle/>
        <a:p>
          <a:r>
            <a:rPr lang="en-US" sz="800">
              <a:solidFill>
                <a:srgbClr val="ED7D31"/>
              </a:solidFill>
              <a:latin typeface="Century Gothic" panose="020B0502020202020204" pitchFamily="34" charset="0"/>
              <a:ea typeface="+mn-ea"/>
              <a:cs typeface="+mn-cs"/>
            </a:rPr>
            <a:t>Transport sector </a:t>
          </a:r>
          <a:r>
            <a:rPr lang="hr-HR" sz="800">
              <a:solidFill>
                <a:srgbClr val="ED7D31"/>
              </a:solidFill>
              <a:latin typeface="Century Gothic" panose="020B0502020202020204" pitchFamily="34" charset="0"/>
              <a:ea typeface="+mn-ea"/>
              <a:cs typeface="+mn-cs"/>
            </a:rPr>
            <a:t>24,991.84</a:t>
          </a:r>
          <a:r>
            <a:rPr lang="en-US" sz="800">
              <a:solidFill>
                <a:srgbClr val="ED7D31"/>
              </a:solidFill>
              <a:latin typeface="Century Gothic" panose="020B0502020202020204" pitchFamily="34" charset="0"/>
              <a:ea typeface="+mn-ea"/>
              <a:cs typeface="+mn-cs"/>
            </a:rPr>
            <a:t> t CO2 in 2017, target </a:t>
          </a:r>
          <a:r>
            <a:rPr lang="hr-HR" sz="800">
              <a:solidFill>
                <a:srgbClr val="ED7D31"/>
              </a:solidFill>
              <a:latin typeface="Century Gothic" panose="020B0502020202020204" pitchFamily="34" charset="0"/>
              <a:ea typeface="+mn-ea"/>
              <a:cs typeface="+mn-cs"/>
            </a:rPr>
            <a:t>14,986.63</a:t>
          </a:r>
          <a:r>
            <a:rPr lang="en-US" sz="800">
              <a:solidFill>
                <a:srgbClr val="ED7D31"/>
              </a:solidFill>
              <a:latin typeface="Century Gothic" panose="020B0502020202020204" pitchFamily="34" charset="0"/>
              <a:ea typeface="+mn-ea"/>
              <a:cs typeface="+mn-cs"/>
            </a:rPr>
            <a:t> t CO2 in 2030</a:t>
          </a:r>
        </a:p>
      </dgm:t>
    </dgm:pt>
    <dgm:pt modelId="{99DD4669-3859-4590-A8E1-52304438228F}" type="parTrans" cxnId="{3338B77D-4576-421E-A488-A57E38BAA248}">
      <dgm:prSet/>
      <dgm:spPr/>
      <dgm:t>
        <a:bodyPr/>
        <a:lstStyle/>
        <a:p>
          <a:endParaRPr lang="en-US"/>
        </a:p>
      </dgm:t>
    </dgm:pt>
    <dgm:pt modelId="{F391C0AC-B78B-4179-B6C6-8B26D9769F65}" type="sibTrans" cxnId="{3338B77D-4576-421E-A488-A57E38BAA248}">
      <dgm:prSet/>
      <dgm:spPr/>
      <dgm:t>
        <a:bodyPr/>
        <a:lstStyle/>
        <a:p>
          <a:endParaRPr lang="en-US"/>
        </a:p>
      </dgm:t>
    </dgm:pt>
    <dgm:pt modelId="{25241DF2-D41D-4524-AFA1-1DA8A2B7E3AA}">
      <dgm:prSet custT="1"/>
      <dgm:spPr/>
      <dgm:t>
        <a:bodyPr/>
        <a:lstStyle/>
        <a:p>
          <a:r>
            <a:rPr lang="en-US" sz="800">
              <a:solidFill>
                <a:srgbClr val="ED7D31"/>
              </a:solidFill>
              <a:latin typeface="Century Gothic" panose="020B0502020202020204" pitchFamily="34" charset="0"/>
              <a:ea typeface="+mn-ea"/>
              <a:cs typeface="+mn-cs"/>
            </a:rPr>
            <a:t>Publich lighting sector </a:t>
          </a:r>
          <a:r>
            <a:rPr lang="hr-HR" sz="800">
              <a:solidFill>
                <a:srgbClr val="ED7D31"/>
              </a:solidFill>
              <a:latin typeface="Century Gothic" panose="020B0502020202020204" pitchFamily="34" charset="0"/>
              <a:ea typeface="+mn-ea"/>
              <a:cs typeface="+mn-cs"/>
            </a:rPr>
            <a:t>50.73</a:t>
          </a:r>
          <a:r>
            <a:rPr lang="en-US" sz="800">
              <a:solidFill>
                <a:srgbClr val="ED7D31"/>
              </a:solidFill>
              <a:latin typeface="Century Gothic" panose="020B0502020202020204" pitchFamily="34" charset="0"/>
              <a:ea typeface="+mn-ea"/>
              <a:cs typeface="+mn-cs"/>
            </a:rPr>
            <a:t> t CO2 in 2017, target </a:t>
          </a:r>
          <a:r>
            <a:rPr lang="hr-HR" sz="800">
              <a:solidFill>
                <a:srgbClr val="ED7D31"/>
              </a:solidFill>
              <a:latin typeface="Century Gothic" panose="020B0502020202020204" pitchFamily="34" charset="0"/>
              <a:ea typeface="+mn-ea"/>
              <a:cs typeface="+mn-cs"/>
            </a:rPr>
            <a:t>44.73</a:t>
          </a:r>
          <a:r>
            <a:rPr lang="en-US" sz="800">
              <a:solidFill>
                <a:srgbClr val="ED7D31"/>
              </a:solidFill>
              <a:latin typeface="Century Gothic" panose="020B0502020202020204" pitchFamily="34" charset="0"/>
              <a:ea typeface="+mn-ea"/>
              <a:cs typeface="+mn-cs"/>
            </a:rPr>
            <a:t> t CO2 in 2030</a:t>
          </a:r>
        </a:p>
      </dgm:t>
    </dgm:pt>
    <dgm:pt modelId="{5F931B4B-E584-4245-B4F9-1657180DE734}" type="parTrans" cxnId="{BBDF9E6D-82B0-457B-A742-5D9CF4B0100D}">
      <dgm:prSet/>
      <dgm:spPr/>
      <dgm:t>
        <a:bodyPr/>
        <a:lstStyle/>
        <a:p>
          <a:endParaRPr lang="en-US"/>
        </a:p>
      </dgm:t>
    </dgm:pt>
    <dgm:pt modelId="{31E35D0C-BD2A-406B-8638-1CD5C5042C23}" type="sibTrans" cxnId="{BBDF9E6D-82B0-457B-A742-5D9CF4B0100D}">
      <dgm:prSet/>
      <dgm:spPr/>
      <dgm:t>
        <a:bodyPr/>
        <a:lstStyle/>
        <a:p>
          <a:endParaRPr lang="en-US"/>
        </a:p>
      </dgm:t>
    </dgm:pt>
    <dgm:pt modelId="{DF01DEF2-D0C3-45F0-A1DD-264379BA4220}">
      <dgm:prSet custT="1"/>
      <dgm:spPr/>
      <dgm:t>
        <a:bodyPr/>
        <a:lstStyle/>
        <a:p>
          <a:r>
            <a:rPr lang="en-US" sz="800">
              <a:solidFill>
                <a:srgbClr val="ED7D31"/>
              </a:solidFill>
              <a:latin typeface="Century Gothic" panose="020B0502020202020204" pitchFamily="34" charset="0"/>
              <a:ea typeface="+mn-ea"/>
              <a:cs typeface="+mn-cs"/>
            </a:rPr>
            <a:t>Total </a:t>
          </a:r>
          <a:r>
            <a:rPr lang="hr-HR" sz="800">
              <a:solidFill>
                <a:srgbClr val="ED7D31"/>
              </a:solidFill>
              <a:latin typeface="Century Gothic" panose="020B0502020202020204" pitchFamily="34" charset="0"/>
              <a:ea typeface="+mn-ea"/>
              <a:cs typeface="+mn-cs"/>
            </a:rPr>
            <a:t>28,444.48</a:t>
          </a:r>
          <a:r>
            <a:rPr lang="en-US" sz="800">
              <a:solidFill>
                <a:srgbClr val="ED7D31"/>
              </a:solidFill>
              <a:latin typeface="Century Gothic" panose="020B0502020202020204" pitchFamily="34" charset="0"/>
              <a:ea typeface="+mn-ea"/>
              <a:cs typeface="+mn-cs"/>
            </a:rPr>
            <a:t> t CO2 in 2017, target </a:t>
          </a:r>
          <a:r>
            <a:rPr lang="hr-HR" sz="800">
              <a:solidFill>
                <a:srgbClr val="ED7D31"/>
              </a:solidFill>
              <a:latin typeface="Century Gothic" panose="020B0502020202020204" pitchFamily="34" charset="0"/>
              <a:ea typeface="+mn-ea"/>
              <a:cs typeface="+mn-cs"/>
            </a:rPr>
            <a:t>17,066.92</a:t>
          </a:r>
          <a:r>
            <a:rPr lang="en-US" sz="800">
              <a:solidFill>
                <a:srgbClr val="ED7D31"/>
              </a:solidFill>
              <a:latin typeface="Century Gothic" panose="020B0502020202020204" pitchFamily="34" charset="0"/>
              <a:ea typeface="+mn-ea"/>
              <a:cs typeface="+mn-cs"/>
            </a:rPr>
            <a:t> t CO2 in 2030</a:t>
          </a:r>
        </a:p>
      </dgm:t>
    </dgm:pt>
    <dgm:pt modelId="{D91312F8-DDE8-43F6-ADCD-7904DC1682E7}" type="parTrans" cxnId="{45F29A86-7DDF-438C-8452-77A4F043EAFA}">
      <dgm:prSet/>
      <dgm:spPr/>
      <dgm:t>
        <a:bodyPr/>
        <a:lstStyle/>
        <a:p>
          <a:endParaRPr lang="en-US"/>
        </a:p>
      </dgm:t>
    </dgm:pt>
    <dgm:pt modelId="{B46F114F-7059-4FD3-8C47-E77060C805E1}" type="sibTrans" cxnId="{45F29A86-7DDF-438C-8452-77A4F043EAFA}">
      <dgm:prSet/>
      <dgm:spPr/>
      <dgm:t>
        <a:bodyPr/>
        <a:lstStyle/>
        <a:p>
          <a:endParaRPr lang="en-US"/>
        </a:p>
      </dgm:t>
    </dgm:pt>
    <dgm:pt modelId="{88188F91-BBFA-41CF-968C-ADE247938AD2}" type="pres">
      <dgm:prSet presAssocID="{21580FAA-54DC-42FF-B71C-37F429C52C7C}" presName="Name0" presStyleCnt="0">
        <dgm:presLayoutVars>
          <dgm:dir val="rev"/>
          <dgm:animLvl val="lvl"/>
          <dgm:resizeHandles val="exact"/>
        </dgm:presLayoutVars>
      </dgm:prSet>
      <dgm:spPr/>
    </dgm:pt>
    <dgm:pt modelId="{40FD83C8-B1AE-4FA3-90F0-2DB6989CAC34}" type="pres">
      <dgm:prSet presAssocID="{56AC4472-8EBA-48D7-B3B1-EB210AD2D7E3}" presName="linNode" presStyleCnt="0"/>
      <dgm:spPr/>
    </dgm:pt>
    <dgm:pt modelId="{8F54B135-1664-48B7-AC3A-16483055BE34}" type="pres">
      <dgm:prSet presAssocID="{56AC4472-8EBA-48D7-B3B1-EB210AD2D7E3}" presName="parTx" presStyleLbl="revTx" presStyleIdx="0" presStyleCnt="5">
        <dgm:presLayoutVars>
          <dgm:chMax val="1"/>
          <dgm:bulletEnabled val="1"/>
        </dgm:presLayoutVars>
      </dgm:prSet>
      <dgm:spPr>
        <a:prstGeom prst="rect">
          <a:avLst/>
        </a:prstGeom>
      </dgm:spPr>
    </dgm:pt>
    <dgm:pt modelId="{A45B326B-74EC-43F8-AFE0-3659AE88D7EC}" type="pres">
      <dgm:prSet presAssocID="{56AC4472-8EBA-48D7-B3B1-EB210AD2D7E3}" presName="bracket" presStyleLbl="parChTrans1D1" presStyleIdx="0" presStyleCnt="5"/>
      <dgm:spPr>
        <a:xfrm rot="10800000">
          <a:off x="3692017" y="7387"/>
          <a:ext cx="263715" cy="534600"/>
        </a:xfrm>
        <a:prstGeom prst="leftBrace">
          <a:avLst>
            <a:gd name="adj1" fmla="val 35000"/>
            <a:gd name="adj2" fmla="val 50000"/>
          </a:avLst>
        </a:prstGeom>
        <a:noFill/>
        <a:ln w="12700" cap="flat" cmpd="sng" algn="ctr">
          <a:solidFill>
            <a:srgbClr val="4472C4">
              <a:hueOff val="0"/>
              <a:satOff val="0"/>
              <a:lumOff val="0"/>
              <a:alphaOff val="0"/>
            </a:srgbClr>
          </a:solidFill>
          <a:prstDash val="solid"/>
          <a:miter lim="800000"/>
        </a:ln>
        <a:effectLst/>
      </dgm:spPr>
    </dgm:pt>
    <dgm:pt modelId="{0F3F7565-0B1F-44E0-8FA4-77CED0591137}" type="pres">
      <dgm:prSet presAssocID="{56AC4472-8EBA-48D7-B3B1-EB210AD2D7E3}" presName="spH" presStyleCnt="0"/>
      <dgm:spPr/>
    </dgm:pt>
    <dgm:pt modelId="{939D73EE-20A7-488D-B5F3-02973258EABD}" type="pres">
      <dgm:prSet presAssocID="{56AC4472-8EBA-48D7-B3B1-EB210AD2D7E3}" presName="desTx" presStyleLbl="node1" presStyleIdx="0" presStyleCnt="5">
        <dgm:presLayoutVars>
          <dgm:bulletEnabled val="1"/>
        </dgm:presLayoutVars>
      </dgm:prSet>
      <dgm:spPr>
        <a:prstGeom prst="rect">
          <a:avLst/>
        </a:prstGeom>
      </dgm:spPr>
    </dgm:pt>
    <dgm:pt modelId="{63C86564-7702-4EF6-A1B9-CABF0A0516BE}" type="pres">
      <dgm:prSet presAssocID="{893BD6A2-3B1C-4A6D-AF0E-D5EC3A1FCD0D}" presName="spV" presStyleCnt="0"/>
      <dgm:spPr/>
    </dgm:pt>
    <dgm:pt modelId="{3BDA93F5-414B-4671-ACB9-A1485B207A01}" type="pres">
      <dgm:prSet presAssocID="{A90F2A83-CB59-448C-8433-5B7DF9752F35}" presName="linNode" presStyleCnt="0"/>
      <dgm:spPr/>
    </dgm:pt>
    <dgm:pt modelId="{7AE51FEA-B033-4C2D-8713-51889DF72EC6}" type="pres">
      <dgm:prSet presAssocID="{A90F2A83-CB59-448C-8433-5B7DF9752F35}" presName="parTx" presStyleLbl="revTx" presStyleIdx="1" presStyleCnt="5">
        <dgm:presLayoutVars>
          <dgm:chMax val="1"/>
          <dgm:bulletEnabled val="1"/>
        </dgm:presLayoutVars>
      </dgm:prSet>
      <dgm:spPr>
        <a:prstGeom prst="rect">
          <a:avLst/>
        </a:prstGeom>
      </dgm:spPr>
    </dgm:pt>
    <dgm:pt modelId="{B0FA5F02-A54A-4904-8EE5-D03806543B5A}" type="pres">
      <dgm:prSet presAssocID="{A90F2A83-CB59-448C-8433-5B7DF9752F35}" presName="bracket" presStyleLbl="parChTrans1D1" presStyleIdx="1" presStyleCnt="5"/>
      <dgm:spPr>
        <a:xfrm rot="10800000">
          <a:off x="3692017" y="639187"/>
          <a:ext cx="263715" cy="534600"/>
        </a:xfrm>
        <a:prstGeom prst="leftBrace">
          <a:avLst>
            <a:gd name="adj1" fmla="val 35000"/>
            <a:gd name="adj2" fmla="val 50000"/>
          </a:avLst>
        </a:prstGeom>
        <a:noFill/>
        <a:ln w="12700" cap="flat" cmpd="sng" algn="ctr">
          <a:solidFill>
            <a:srgbClr val="4472C4">
              <a:hueOff val="0"/>
              <a:satOff val="0"/>
              <a:lumOff val="0"/>
              <a:alphaOff val="0"/>
            </a:srgbClr>
          </a:solidFill>
          <a:prstDash val="solid"/>
          <a:miter lim="800000"/>
        </a:ln>
        <a:effectLst/>
      </dgm:spPr>
    </dgm:pt>
    <dgm:pt modelId="{CBC9840B-1279-4F13-948C-6CB4E919C0C2}" type="pres">
      <dgm:prSet presAssocID="{A90F2A83-CB59-448C-8433-5B7DF9752F35}" presName="spH" presStyleCnt="0"/>
      <dgm:spPr/>
    </dgm:pt>
    <dgm:pt modelId="{9DCAC433-2C55-4EC1-8752-53E840005F8A}" type="pres">
      <dgm:prSet presAssocID="{A90F2A83-CB59-448C-8433-5B7DF9752F35}" presName="desTx" presStyleLbl="node1" presStyleIdx="1" presStyleCnt="5">
        <dgm:presLayoutVars>
          <dgm:bulletEnabled val="1"/>
        </dgm:presLayoutVars>
      </dgm:prSet>
      <dgm:spPr>
        <a:prstGeom prst="rect">
          <a:avLst/>
        </a:prstGeom>
      </dgm:spPr>
    </dgm:pt>
    <dgm:pt modelId="{421133D3-94CD-4CF0-B3BE-07BABBA151D8}" type="pres">
      <dgm:prSet presAssocID="{4A298973-D338-4E37-8D4E-5877D0E1CAB0}" presName="spV" presStyleCnt="0"/>
      <dgm:spPr/>
    </dgm:pt>
    <dgm:pt modelId="{622C5F3B-DE0C-4BD7-B575-C66F6F4FE4F8}" type="pres">
      <dgm:prSet presAssocID="{9BA36FDD-75F9-477A-9980-1CAFD42318AC}" presName="linNode" presStyleCnt="0"/>
      <dgm:spPr/>
    </dgm:pt>
    <dgm:pt modelId="{3B6F0D54-1059-4222-BC00-DD5B66A8521A}" type="pres">
      <dgm:prSet presAssocID="{9BA36FDD-75F9-477A-9980-1CAFD42318AC}" presName="parTx" presStyleLbl="revTx" presStyleIdx="2" presStyleCnt="5">
        <dgm:presLayoutVars>
          <dgm:chMax val="1"/>
          <dgm:bulletEnabled val="1"/>
        </dgm:presLayoutVars>
      </dgm:prSet>
      <dgm:spPr>
        <a:prstGeom prst="rect">
          <a:avLst/>
        </a:prstGeom>
      </dgm:spPr>
    </dgm:pt>
    <dgm:pt modelId="{0A82CDA7-2ADA-4AC1-865C-B6395A6B3B87}" type="pres">
      <dgm:prSet presAssocID="{9BA36FDD-75F9-477A-9980-1CAFD42318AC}" presName="bracket" presStyleLbl="parChTrans1D1" presStyleIdx="2" presStyleCnt="5"/>
      <dgm:spPr>
        <a:xfrm rot="10800000">
          <a:off x="3692017" y="1270987"/>
          <a:ext cx="263715" cy="534600"/>
        </a:xfrm>
        <a:prstGeom prst="leftBrace">
          <a:avLst>
            <a:gd name="adj1" fmla="val 35000"/>
            <a:gd name="adj2" fmla="val 50000"/>
          </a:avLst>
        </a:prstGeom>
        <a:noFill/>
        <a:ln w="12700" cap="flat" cmpd="sng" algn="ctr">
          <a:solidFill>
            <a:srgbClr val="4472C4">
              <a:hueOff val="0"/>
              <a:satOff val="0"/>
              <a:lumOff val="0"/>
              <a:alphaOff val="0"/>
            </a:srgbClr>
          </a:solidFill>
          <a:prstDash val="solid"/>
          <a:miter lim="800000"/>
        </a:ln>
        <a:effectLst/>
      </dgm:spPr>
    </dgm:pt>
    <dgm:pt modelId="{4C04A5F8-721D-4F69-8EA8-D90300AD4790}" type="pres">
      <dgm:prSet presAssocID="{9BA36FDD-75F9-477A-9980-1CAFD42318AC}" presName="spH" presStyleCnt="0"/>
      <dgm:spPr/>
    </dgm:pt>
    <dgm:pt modelId="{7DED1514-F865-4F6F-BBB7-6AB770DD8CD0}" type="pres">
      <dgm:prSet presAssocID="{9BA36FDD-75F9-477A-9980-1CAFD42318AC}" presName="desTx" presStyleLbl="node1" presStyleIdx="2" presStyleCnt="5">
        <dgm:presLayoutVars>
          <dgm:bulletEnabled val="1"/>
        </dgm:presLayoutVars>
      </dgm:prSet>
      <dgm:spPr>
        <a:prstGeom prst="rect">
          <a:avLst/>
        </a:prstGeom>
      </dgm:spPr>
    </dgm:pt>
    <dgm:pt modelId="{FEAB3D9F-27D5-475A-9AE4-A8FA8196001F}" type="pres">
      <dgm:prSet presAssocID="{64C91CD6-EAA5-4C3D-976D-5BB244135128}" presName="spV" presStyleCnt="0"/>
      <dgm:spPr/>
    </dgm:pt>
    <dgm:pt modelId="{7B4654D7-40F3-4780-AFD7-5FD0910CDFAA}" type="pres">
      <dgm:prSet presAssocID="{0DF586A6-4A2B-4043-AE14-4FA313AA290B}" presName="linNode" presStyleCnt="0"/>
      <dgm:spPr/>
    </dgm:pt>
    <dgm:pt modelId="{347B755A-19C6-4369-A5A9-F407F976B0E4}" type="pres">
      <dgm:prSet presAssocID="{0DF586A6-4A2B-4043-AE14-4FA313AA290B}" presName="parTx" presStyleLbl="revTx" presStyleIdx="3" presStyleCnt="5">
        <dgm:presLayoutVars>
          <dgm:chMax val="1"/>
          <dgm:bulletEnabled val="1"/>
        </dgm:presLayoutVars>
      </dgm:prSet>
      <dgm:spPr>
        <a:prstGeom prst="rect">
          <a:avLst/>
        </a:prstGeom>
      </dgm:spPr>
    </dgm:pt>
    <dgm:pt modelId="{B7685F7F-4EE2-4FFE-8E34-0A9389150B83}" type="pres">
      <dgm:prSet presAssocID="{0DF586A6-4A2B-4043-AE14-4FA313AA290B}" presName="bracket" presStyleLbl="parChTrans1D1" presStyleIdx="3" presStyleCnt="5"/>
      <dgm:spPr>
        <a:xfrm rot="10800000">
          <a:off x="3692017" y="1902787"/>
          <a:ext cx="263715" cy="534600"/>
        </a:xfrm>
        <a:prstGeom prst="leftBrace">
          <a:avLst>
            <a:gd name="adj1" fmla="val 35000"/>
            <a:gd name="adj2" fmla="val 50000"/>
          </a:avLst>
        </a:prstGeom>
        <a:noFill/>
        <a:ln w="12700" cap="flat" cmpd="sng" algn="ctr">
          <a:solidFill>
            <a:srgbClr val="4472C4">
              <a:hueOff val="0"/>
              <a:satOff val="0"/>
              <a:lumOff val="0"/>
              <a:alphaOff val="0"/>
            </a:srgbClr>
          </a:solidFill>
          <a:prstDash val="solid"/>
          <a:miter lim="800000"/>
        </a:ln>
        <a:effectLst/>
      </dgm:spPr>
    </dgm:pt>
    <dgm:pt modelId="{CD27506E-C98F-4493-A169-1B108FC7BC29}" type="pres">
      <dgm:prSet presAssocID="{0DF586A6-4A2B-4043-AE14-4FA313AA290B}" presName="spH" presStyleCnt="0"/>
      <dgm:spPr/>
    </dgm:pt>
    <dgm:pt modelId="{73476276-D887-4C6B-A000-3C41D168EDA1}" type="pres">
      <dgm:prSet presAssocID="{0DF586A6-4A2B-4043-AE14-4FA313AA290B}" presName="desTx" presStyleLbl="node1" presStyleIdx="3" presStyleCnt="5">
        <dgm:presLayoutVars>
          <dgm:bulletEnabled val="1"/>
        </dgm:presLayoutVars>
      </dgm:prSet>
      <dgm:spPr>
        <a:prstGeom prst="rect">
          <a:avLst/>
        </a:prstGeom>
      </dgm:spPr>
    </dgm:pt>
    <dgm:pt modelId="{2B005BB0-2587-4F87-B2DE-B956F02FEBDD}" type="pres">
      <dgm:prSet presAssocID="{76F10FDF-41C6-44EF-8C3E-B88BB216381F}" presName="spV" presStyleCnt="0"/>
      <dgm:spPr/>
    </dgm:pt>
    <dgm:pt modelId="{3A30666E-6376-4DD6-9351-34A15EE27EAD}" type="pres">
      <dgm:prSet presAssocID="{7726864F-492E-4788-8F59-A3DB682D09D1}" presName="linNode" presStyleCnt="0"/>
      <dgm:spPr/>
    </dgm:pt>
    <dgm:pt modelId="{97AEE72D-BA13-4B91-B04F-7ACDFC545084}" type="pres">
      <dgm:prSet presAssocID="{7726864F-492E-4788-8F59-A3DB682D09D1}" presName="parTx" presStyleLbl="revTx" presStyleIdx="4" presStyleCnt="5">
        <dgm:presLayoutVars>
          <dgm:chMax val="1"/>
          <dgm:bulletEnabled val="1"/>
        </dgm:presLayoutVars>
      </dgm:prSet>
      <dgm:spPr>
        <a:prstGeom prst="rect">
          <a:avLst/>
        </a:prstGeom>
      </dgm:spPr>
    </dgm:pt>
    <dgm:pt modelId="{B6EC1FE6-B953-4118-994F-B503E32D4FD8}" type="pres">
      <dgm:prSet presAssocID="{7726864F-492E-4788-8F59-A3DB682D09D1}" presName="bracket" presStyleLbl="parChTrans1D1" presStyleIdx="4" presStyleCnt="5"/>
      <dgm:spPr>
        <a:xfrm rot="10800000">
          <a:off x="3692017" y="2534587"/>
          <a:ext cx="263715" cy="534600"/>
        </a:xfrm>
        <a:prstGeom prst="leftBrace">
          <a:avLst>
            <a:gd name="adj1" fmla="val 35000"/>
            <a:gd name="adj2" fmla="val 50000"/>
          </a:avLst>
        </a:prstGeom>
        <a:noFill/>
        <a:ln w="12700" cap="flat" cmpd="sng" algn="ctr">
          <a:solidFill>
            <a:srgbClr val="4472C4">
              <a:hueOff val="0"/>
              <a:satOff val="0"/>
              <a:lumOff val="0"/>
              <a:alphaOff val="0"/>
            </a:srgbClr>
          </a:solidFill>
          <a:prstDash val="solid"/>
          <a:miter lim="800000"/>
        </a:ln>
        <a:effectLst/>
      </dgm:spPr>
    </dgm:pt>
    <dgm:pt modelId="{5597D4AD-DEC4-44F4-9A27-61C5B9E3E539}" type="pres">
      <dgm:prSet presAssocID="{7726864F-492E-4788-8F59-A3DB682D09D1}" presName="spH" presStyleCnt="0"/>
      <dgm:spPr/>
    </dgm:pt>
    <dgm:pt modelId="{F7A8F5B6-9879-44A3-9137-06DDDDA79E01}" type="pres">
      <dgm:prSet presAssocID="{7726864F-492E-4788-8F59-A3DB682D09D1}" presName="desTx" presStyleLbl="node1" presStyleIdx="4" presStyleCnt="5">
        <dgm:presLayoutVars>
          <dgm:bulletEnabled val="1"/>
        </dgm:presLayoutVars>
      </dgm:prSet>
      <dgm:spPr>
        <a:prstGeom prst="rect">
          <a:avLst/>
        </a:prstGeom>
      </dgm:spPr>
    </dgm:pt>
  </dgm:ptLst>
  <dgm:cxnLst>
    <dgm:cxn modelId="{F6700802-82CC-4AD0-B3FA-73EECFF6C811}" type="presOf" srcId="{42DDA19B-BAC8-483A-BF91-0F64BA795D3E}" destId="{7DED1514-F865-4F6F-BBB7-6AB770DD8CD0}" srcOrd="0" destOrd="0" presId="urn:diagrams.loki3.com/BracketList"/>
    <dgm:cxn modelId="{CA05EE0D-0C7E-406B-8C88-7FB102E27AEC}" type="presOf" srcId="{66DFC467-3687-446A-BEE3-8C82E5F1D499}" destId="{F7A8F5B6-9879-44A3-9137-06DDDDA79E01}" srcOrd="0" destOrd="2" presId="urn:diagrams.loki3.com/BracketList"/>
    <dgm:cxn modelId="{1B623311-F0D2-42EC-A7CA-8B38730603FD}" type="presOf" srcId="{A90F2A83-CB59-448C-8433-5B7DF9752F35}" destId="{7AE51FEA-B033-4C2D-8713-51889DF72EC6}" srcOrd="0" destOrd="0" presId="urn:diagrams.loki3.com/BracketList"/>
    <dgm:cxn modelId="{2212651F-2630-4B98-A50B-F683CFC3779A}" type="presOf" srcId="{8F10AC3C-F1C9-42C7-8D81-565A2E118E30}" destId="{7DED1514-F865-4F6F-BBB7-6AB770DD8CD0}" srcOrd="0" destOrd="1" presId="urn:diagrams.loki3.com/BracketList"/>
    <dgm:cxn modelId="{4E487126-44CE-42BC-AD8D-773CFFDB2D1D}" type="presOf" srcId="{DF01DEF2-D0C3-45F0-A1DD-264379BA4220}" destId="{7DED1514-F865-4F6F-BBB7-6AB770DD8CD0}" srcOrd="0" destOrd="3" presId="urn:diagrams.loki3.com/BracketList"/>
    <dgm:cxn modelId="{9898A231-370F-42BA-A960-7DC6A5DFE070}" type="presOf" srcId="{56AC4472-8EBA-48D7-B3B1-EB210AD2D7E3}" destId="{8F54B135-1664-48B7-AC3A-16483055BE34}" srcOrd="0" destOrd="0" presId="urn:diagrams.loki3.com/BracketList"/>
    <dgm:cxn modelId="{1D87AB62-ADF5-463E-A88E-7D1499882A4E}" srcId="{21580FAA-54DC-42FF-B71C-37F429C52C7C}" destId="{0DF586A6-4A2B-4043-AE14-4FA313AA290B}" srcOrd="3" destOrd="0" parTransId="{702D3A9D-CFA7-4154-9938-98C5DF4D9995}" sibTransId="{76F10FDF-41C6-44EF-8C3E-B88BB216381F}"/>
    <dgm:cxn modelId="{D3FC7543-735A-4C0F-8418-B2B7FBA2F755}" type="presOf" srcId="{7726864F-492E-4788-8F59-A3DB682D09D1}" destId="{97AEE72D-BA13-4B91-B04F-7ACDFC545084}" srcOrd="0" destOrd="0" presId="urn:diagrams.loki3.com/BracketList"/>
    <dgm:cxn modelId="{0472EB45-44BF-49A6-A2F7-A3C81553B9AD}" type="presOf" srcId="{6E8AFC75-9F44-466B-B97D-5906F8A84AF1}" destId="{939D73EE-20A7-488D-B5F3-02973258EABD}" srcOrd="0" destOrd="0" presId="urn:diagrams.loki3.com/BracketList"/>
    <dgm:cxn modelId="{4514A066-B84F-475D-B314-C7F39384E7B9}" srcId="{21580FAA-54DC-42FF-B71C-37F429C52C7C}" destId="{7726864F-492E-4788-8F59-A3DB682D09D1}" srcOrd="4" destOrd="0" parTransId="{02381845-2169-45E9-996E-D8A86C3CE73C}" sibTransId="{72D6433B-7E64-44EF-94DA-4FB97899F387}"/>
    <dgm:cxn modelId="{781DD766-287F-4916-B22D-EE79F8890712}" srcId="{21580FAA-54DC-42FF-B71C-37F429C52C7C}" destId="{56AC4472-8EBA-48D7-B3B1-EB210AD2D7E3}" srcOrd="0" destOrd="0" parTransId="{1FA16884-4201-4578-AC20-1415DF80FD9A}" sibTransId="{893BD6A2-3B1C-4A6D-AF0E-D5EC3A1FCD0D}"/>
    <dgm:cxn modelId="{9FD90A67-808E-49A9-86E2-AF17CD2500C7}" type="presOf" srcId="{9BA36FDD-75F9-477A-9980-1CAFD42318AC}" destId="{3B6F0D54-1059-4222-BC00-DD5B66A8521A}" srcOrd="0" destOrd="0" presId="urn:diagrams.loki3.com/BracketList"/>
    <dgm:cxn modelId="{BBDF9E6D-82B0-457B-A742-5D9CF4B0100D}" srcId="{9BA36FDD-75F9-477A-9980-1CAFD42318AC}" destId="{25241DF2-D41D-4524-AFA1-1DA8A2B7E3AA}" srcOrd="2" destOrd="0" parTransId="{5F931B4B-E584-4245-B4F9-1657180DE734}" sibTransId="{31E35D0C-BD2A-406B-8638-1CD5C5042C23}"/>
    <dgm:cxn modelId="{A62F9D53-C6E1-474F-8248-4C0340C8E539}" srcId="{21580FAA-54DC-42FF-B71C-37F429C52C7C}" destId="{9BA36FDD-75F9-477A-9980-1CAFD42318AC}" srcOrd="2" destOrd="0" parTransId="{1A047B57-D1B9-41EA-8790-8FBFD9ED449F}" sibTransId="{64C91CD6-EAA5-4C3D-976D-5BB244135128}"/>
    <dgm:cxn modelId="{049E1C55-9777-4A02-85F4-FF7A6545DE59}" srcId="{A90F2A83-CB59-448C-8433-5B7DF9752F35}" destId="{3D54CCD1-F893-4D7A-8DEF-03262622B008}" srcOrd="1" destOrd="0" parTransId="{30F196AA-671E-4633-B620-D75F70990A88}" sibTransId="{14026A55-D738-4586-A743-5212BEADC90A}"/>
    <dgm:cxn modelId="{19BBCF77-E50D-45CB-8C5D-D9F991E6602A}" type="presOf" srcId="{25241DF2-D41D-4524-AFA1-1DA8A2B7E3AA}" destId="{7DED1514-F865-4F6F-BBB7-6AB770DD8CD0}" srcOrd="0" destOrd="2" presId="urn:diagrams.loki3.com/BracketList"/>
    <dgm:cxn modelId="{23D9817C-3E3A-4C14-A74D-78BE1036D7CB}" srcId="{56AC4472-8EBA-48D7-B3B1-EB210AD2D7E3}" destId="{6E8AFC75-9F44-466B-B97D-5906F8A84AF1}" srcOrd="0" destOrd="0" parTransId="{B5DEBE24-0308-4FFB-BF42-A71B5E46019A}" sibTransId="{F6907CE5-327E-45B9-8580-2BBC8D97DEA3}"/>
    <dgm:cxn modelId="{3338B77D-4576-421E-A488-A57E38BAA248}" srcId="{9BA36FDD-75F9-477A-9980-1CAFD42318AC}" destId="{8F10AC3C-F1C9-42C7-8D81-565A2E118E30}" srcOrd="1" destOrd="0" parTransId="{99DD4669-3859-4590-A8E1-52304438228F}" sibTransId="{F391C0AC-B78B-4179-B6C6-8B26D9769F65}"/>
    <dgm:cxn modelId="{9178507F-3144-4B21-B9EE-370017141996}" srcId="{7726864F-492E-4788-8F59-A3DB682D09D1}" destId="{8B8E3CE5-E479-4FC5-8A5F-B295C9342B6E}" srcOrd="0" destOrd="0" parTransId="{C8657297-1237-4014-8646-0459E6710BBE}" sibTransId="{98EFE610-61CA-460B-9E9A-BDAF4D944B0E}"/>
    <dgm:cxn modelId="{AF3C9B83-66D7-457C-A62B-3D9F4EF53ADA}" srcId="{7726864F-492E-4788-8F59-A3DB682D09D1}" destId="{66DFC467-3687-446A-BEE3-8C82E5F1D499}" srcOrd="2" destOrd="0" parTransId="{10737807-C998-48AB-8DAA-A745C53BAA91}" sibTransId="{2F71259C-AEAA-43D6-8373-D2FF48010730}"/>
    <dgm:cxn modelId="{45F29A86-7DDF-438C-8452-77A4F043EAFA}" srcId="{9BA36FDD-75F9-477A-9980-1CAFD42318AC}" destId="{DF01DEF2-D0C3-45F0-A1DD-264379BA4220}" srcOrd="3" destOrd="0" parTransId="{D91312F8-DDE8-43F6-ADCD-7904DC1682E7}" sibTransId="{B46F114F-7059-4FD3-8C47-E77060C805E1}"/>
    <dgm:cxn modelId="{4B377C87-DEB4-48F7-80E4-453AEF5598A9}" srcId="{A90F2A83-CB59-448C-8433-5B7DF9752F35}" destId="{61CBAF53-0CE0-4543-B616-7273519716B1}" srcOrd="0" destOrd="0" parTransId="{01BCF663-14F5-4551-AC5C-7ACB79E45CA6}" sibTransId="{86FC1CB9-38C0-49D0-9ADC-A8C1CD3D8477}"/>
    <dgm:cxn modelId="{7C6B928D-A154-46E0-99EC-9C921254971D}" type="presOf" srcId="{0DF586A6-4A2B-4043-AE14-4FA313AA290B}" destId="{347B755A-19C6-4369-A5A9-F407F976B0E4}" srcOrd="0" destOrd="0" presId="urn:diagrams.loki3.com/BracketList"/>
    <dgm:cxn modelId="{E2C1A28F-70D3-45AD-9834-6EDB72CC3349}" srcId="{9BA36FDD-75F9-477A-9980-1CAFD42318AC}" destId="{42DDA19B-BAC8-483A-BF91-0F64BA795D3E}" srcOrd="0" destOrd="0" parTransId="{9FD1FAAE-2382-44EE-9558-DED4B00E172E}" sibTransId="{F2D30A36-A6DD-45A3-A6DF-A880600A9CAA}"/>
    <dgm:cxn modelId="{D862C49A-25DB-44FF-869A-8647A0707F85}" type="presOf" srcId="{8B8E3CE5-E479-4FC5-8A5F-B295C9342B6E}" destId="{F7A8F5B6-9879-44A3-9137-06DDDDA79E01}" srcOrd="0" destOrd="0" presId="urn:diagrams.loki3.com/BracketList"/>
    <dgm:cxn modelId="{678D1E9E-71B1-4E10-8D1D-9237A96820AD}" type="presOf" srcId="{E06A17C0-0094-4A45-988E-F6250BC65A0A}" destId="{F7A8F5B6-9879-44A3-9137-06DDDDA79E01}" srcOrd="0" destOrd="1" presId="urn:diagrams.loki3.com/BracketList"/>
    <dgm:cxn modelId="{6303EAAA-381F-4909-B46C-A07AAF4D24E8}" srcId="{21580FAA-54DC-42FF-B71C-37F429C52C7C}" destId="{A90F2A83-CB59-448C-8433-5B7DF9752F35}" srcOrd="1" destOrd="0" parTransId="{D1279B3C-B462-488B-BD90-4B17BE4C72DB}" sibTransId="{4A298973-D338-4E37-8D4E-5877D0E1CAB0}"/>
    <dgm:cxn modelId="{26DDB3C3-1EEC-47EE-BFC5-3BD7A9FEFA2A}" type="presOf" srcId="{3D54CCD1-F893-4D7A-8DEF-03262622B008}" destId="{9DCAC433-2C55-4EC1-8752-53E840005F8A}" srcOrd="0" destOrd="1" presId="urn:diagrams.loki3.com/BracketList"/>
    <dgm:cxn modelId="{19FB13C6-AD0A-4E13-943D-0DE350CA9421}" srcId="{0DF586A6-4A2B-4043-AE14-4FA313AA290B}" destId="{14950E4A-9C24-49FD-BDB7-B7DDD8EC1FD1}" srcOrd="0" destOrd="0" parTransId="{4D6D4606-C4C1-4694-A290-FDCF09004CAD}" sibTransId="{58C413B8-4A93-4294-AAC1-56FE37C6B751}"/>
    <dgm:cxn modelId="{D8E716C6-4278-4AD5-A50D-EE81E4B39D4C}" type="presOf" srcId="{61CBAF53-0CE0-4543-B616-7273519716B1}" destId="{9DCAC433-2C55-4EC1-8752-53E840005F8A}" srcOrd="0" destOrd="0" presId="urn:diagrams.loki3.com/BracketList"/>
    <dgm:cxn modelId="{572D92DD-6033-42F8-A732-B09A5C412D09}" type="presOf" srcId="{21580FAA-54DC-42FF-B71C-37F429C52C7C}" destId="{88188F91-BBFA-41CF-968C-ADE247938AD2}" srcOrd="0" destOrd="0" presId="urn:diagrams.loki3.com/BracketList"/>
    <dgm:cxn modelId="{9567A8E5-730C-408B-8215-2D731BF0797F}" type="presOf" srcId="{D66DF7CE-A3EB-40A3-9337-24EF7C3489C0}" destId="{9DCAC433-2C55-4EC1-8752-53E840005F8A}" srcOrd="0" destOrd="2" presId="urn:diagrams.loki3.com/BracketList"/>
    <dgm:cxn modelId="{B2B7BCF2-E56E-4870-BAB7-F77655719E05}" srcId="{A90F2A83-CB59-448C-8433-5B7DF9752F35}" destId="{D66DF7CE-A3EB-40A3-9337-24EF7C3489C0}" srcOrd="2" destOrd="0" parTransId="{1806E231-548A-4046-8C85-26F607B2C676}" sibTransId="{664CCF76-9515-4996-A011-D312B4FB3D20}"/>
    <dgm:cxn modelId="{5B1A47F7-1C05-4B45-BE7F-D1104C8DC355}" type="presOf" srcId="{14950E4A-9C24-49FD-BDB7-B7DDD8EC1FD1}" destId="{73476276-D887-4C6B-A000-3C41D168EDA1}" srcOrd="0" destOrd="0" presId="urn:diagrams.loki3.com/BracketList"/>
    <dgm:cxn modelId="{3DA3F6F8-86A9-45AE-8D69-1481B58AB037}" srcId="{7726864F-492E-4788-8F59-A3DB682D09D1}" destId="{E06A17C0-0094-4A45-988E-F6250BC65A0A}" srcOrd="1" destOrd="0" parTransId="{304351FB-89A0-4700-A630-D24567F903C7}" sibTransId="{038CA7AD-3FEE-458F-A82F-26967194E18E}"/>
    <dgm:cxn modelId="{7727F52E-014C-492A-BC97-A14D6E38CDD7}" type="presParOf" srcId="{88188F91-BBFA-41CF-968C-ADE247938AD2}" destId="{40FD83C8-B1AE-4FA3-90F0-2DB6989CAC34}" srcOrd="0" destOrd="0" presId="urn:diagrams.loki3.com/BracketList"/>
    <dgm:cxn modelId="{F6B7DF88-6E99-45B5-A885-421E6473BBCB}" type="presParOf" srcId="{40FD83C8-B1AE-4FA3-90F0-2DB6989CAC34}" destId="{8F54B135-1664-48B7-AC3A-16483055BE34}" srcOrd="0" destOrd="0" presId="urn:diagrams.loki3.com/BracketList"/>
    <dgm:cxn modelId="{A5854F20-D9EC-4B33-9C6C-B48E741EBD37}" type="presParOf" srcId="{40FD83C8-B1AE-4FA3-90F0-2DB6989CAC34}" destId="{A45B326B-74EC-43F8-AFE0-3659AE88D7EC}" srcOrd="1" destOrd="0" presId="urn:diagrams.loki3.com/BracketList"/>
    <dgm:cxn modelId="{2347CC32-7A90-4883-8A35-75B53B9DCB34}" type="presParOf" srcId="{40FD83C8-B1AE-4FA3-90F0-2DB6989CAC34}" destId="{0F3F7565-0B1F-44E0-8FA4-77CED0591137}" srcOrd="2" destOrd="0" presId="urn:diagrams.loki3.com/BracketList"/>
    <dgm:cxn modelId="{FE5077B0-A6E7-43B0-978B-003AB1C9205F}" type="presParOf" srcId="{40FD83C8-B1AE-4FA3-90F0-2DB6989CAC34}" destId="{939D73EE-20A7-488D-B5F3-02973258EABD}" srcOrd="3" destOrd="0" presId="urn:diagrams.loki3.com/BracketList"/>
    <dgm:cxn modelId="{55668C3F-83C5-422C-B1A3-549595B65059}" type="presParOf" srcId="{88188F91-BBFA-41CF-968C-ADE247938AD2}" destId="{63C86564-7702-4EF6-A1B9-CABF0A0516BE}" srcOrd="1" destOrd="0" presId="urn:diagrams.loki3.com/BracketList"/>
    <dgm:cxn modelId="{463C6390-062F-4778-84FC-565BC8C7DDC2}" type="presParOf" srcId="{88188F91-BBFA-41CF-968C-ADE247938AD2}" destId="{3BDA93F5-414B-4671-ACB9-A1485B207A01}" srcOrd="2" destOrd="0" presId="urn:diagrams.loki3.com/BracketList"/>
    <dgm:cxn modelId="{CEB8468F-CC64-4135-BE88-DE785A475994}" type="presParOf" srcId="{3BDA93F5-414B-4671-ACB9-A1485B207A01}" destId="{7AE51FEA-B033-4C2D-8713-51889DF72EC6}" srcOrd="0" destOrd="0" presId="urn:diagrams.loki3.com/BracketList"/>
    <dgm:cxn modelId="{1EF8A9E9-BB88-41E9-B506-AAD8E72A2566}" type="presParOf" srcId="{3BDA93F5-414B-4671-ACB9-A1485B207A01}" destId="{B0FA5F02-A54A-4904-8EE5-D03806543B5A}" srcOrd="1" destOrd="0" presId="urn:diagrams.loki3.com/BracketList"/>
    <dgm:cxn modelId="{CF4A7FAA-C414-40AB-9863-53DCEE041377}" type="presParOf" srcId="{3BDA93F5-414B-4671-ACB9-A1485B207A01}" destId="{CBC9840B-1279-4F13-948C-6CB4E919C0C2}" srcOrd="2" destOrd="0" presId="urn:diagrams.loki3.com/BracketList"/>
    <dgm:cxn modelId="{F5801E88-85C9-4D3F-97AE-387B934BCF16}" type="presParOf" srcId="{3BDA93F5-414B-4671-ACB9-A1485B207A01}" destId="{9DCAC433-2C55-4EC1-8752-53E840005F8A}" srcOrd="3" destOrd="0" presId="urn:diagrams.loki3.com/BracketList"/>
    <dgm:cxn modelId="{299052FE-FCB1-40EC-8A15-8192B69B6F0C}" type="presParOf" srcId="{88188F91-BBFA-41CF-968C-ADE247938AD2}" destId="{421133D3-94CD-4CF0-B3BE-07BABBA151D8}" srcOrd="3" destOrd="0" presId="urn:diagrams.loki3.com/BracketList"/>
    <dgm:cxn modelId="{DF054F21-7774-4111-B878-34CD1075E572}" type="presParOf" srcId="{88188F91-BBFA-41CF-968C-ADE247938AD2}" destId="{622C5F3B-DE0C-4BD7-B575-C66F6F4FE4F8}" srcOrd="4" destOrd="0" presId="urn:diagrams.loki3.com/BracketList"/>
    <dgm:cxn modelId="{96D5A40A-17D8-4E21-9393-9FE9E1609B04}" type="presParOf" srcId="{622C5F3B-DE0C-4BD7-B575-C66F6F4FE4F8}" destId="{3B6F0D54-1059-4222-BC00-DD5B66A8521A}" srcOrd="0" destOrd="0" presId="urn:diagrams.loki3.com/BracketList"/>
    <dgm:cxn modelId="{D27438C4-CF33-4743-BD9A-12A0250DD0D4}" type="presParOf" srcId="{622C5F3B-DE0C-4BD7-B575-C66F6F4FE4F8}" destId="{0A82CDA7-2ADA-4AC1-865C-B6395A6B3B87}" srcOrd="1" destOrd="0" presId="urn:diagrams.loki3.com/BracketList"/>
    <dgm:cxn modelId="{0941F882-ECD1-4207-B145-C7E96A917D8D}" type="presParOf" srcId="{622C5F3B-DE0C-4BD7-B575-C66F6F4FE4F8}" destId="{4C04A5F8-721D-4F69-8EA8-D90300AD4790}" srcOrd="2" destOrd="0" presId="urn:diagrams.loki3.com/BracketList"/>
    <dgm:cxn modelId="{7ECC825B-A02D-4E4C-9D87-5407458B2C2E}" type="presParOf" srcId="{622C5F3B-DE0C-4BD7-B575-C66F6F4FE4F8}" destId="{7DED1514-F865-4F6F-BBB7-6AB770DD8CD0}" srcOrd="3" destOrd="0" presId="urn:diagrams.loki3.com/BracketList"/>
    <dgm:cxn modelId="{FC4C40C9-3C52-480A-8D80-829FB4B3617F}" type="presParOf" srcId="{88188F91-BBFA-41CF-968C-ADE247938AD2}" destId="{FEAB3D9F-27D5-475A-9AE4-A8FA8196001F}" srcOrd="5" destOrd="0" presId="urn:diagrams.loki3.com/BracketList"/>
    <dgm:cxn modelId="{F7374E44-D3A5-405C-9B32-35AC933EFCF1}" type="presParOf" srcId="{88188F91-BBFA-41CF-968C-ADE247938AD2}" destId="{7B4654D7-40F3-4780-AFD7-5FD0910CDFAA}" srcOrd="6" destOrd="0" presId="urn:diagrams.loki3.com/BracketList"/>
    <dgm:cxn modelId="{CB22533B-4C3C-4B4A-B2A9-F97D6D9BC45C}" type="presParOf" srcId="{7B4654D7-40F3-4780-AFD7-5FD0910CDFAA}" destId="{347B755A-19C6-4369-A5A9-F407F976B0E4}" srcOrd="0" destOrd="0" presId="urn:diagrams.loki3.com/BracketList"/>
    <dgm:cxn modelId="{C5FAEDDC-2105-439E-9A70-6A0A6D4A7A40}" type="presParOf" srcId="{7B4654D7-40F3-4780-AFD7-5FD0910CDFAA}" destId="{B7685F7F-4EE2-4FFE-8E34-0A9389150B83}" srcOrd="1" destOrd="0" presId="urn:diagrams.loki3.com/BracketList"/>
    <dgm:cxn modelId="{63C99209-C898-4A5B-AA99-B54FC3796BBA}" type="presParOf" srcId="{7B4654D7-40F3-4780-AFD7-5FD0910CDFAA}" destId="{CD27506E-C98F-4493-A169-1B108FC7BC29}" srcOrd="2" destOrd="0" presId="urn:diagrams.loki3.com/BracketList"/>
    <dgm:cxn modelId="{EA53E9BB-E6B4-4781-B7B4-54D2214EBE58}" type="presParOf" srcId="{7B4654D7-40F3-4780-AFD7-5FD0910CDFAA}" destId="{73476276-D887-4C6B-A000-3C41D168EDA1}" srcOrd="3" destOrd="0" presId="urn:diagrams.loki3.com/BracketList"/>
    <dgm:cxn modelId="{164944D6-AA16-475E-98F8-C6C4D9604C47}" type="presParOf" srcId="{88188F91-BBFA-41CF-968C-ADE247938AD2}" destId="{2B005BB0-2587-4F87-B2DE-B956F02FEBDD}" srcOrd="7" destOrd="0" presId="urn:diagrams.loki3.com/BracketList"/>
    <dgm:cxn modelId="{EE6EF465-9F4A-40F9-9B44-E3AC9DB00016}" type="presParOf" srcId="{88188F91-BBFA-41CF-968C-ADE247938AD2}" destId="{3A30666E-6376-4DD6-9351-34A15EE27EAD}" srcOrd="8" destOrd="0" presId="urn:diagrams.loki3.com/BracketList"/>
    <dgm:cxn modelId="{6979E452-30C0-4058-91FC-3D28680A0E08}" type="presParOf" srcId="{3A30666E-6376-4DD6-9351-34A15EE27EAD}" destId="{97AEE72D-BA13-4B91-B04F-7ACDFC545084}" srcOrd="0" destOrd="0" presId="urn:diagrams.loki3.com/BracketList"/>
    <dgm:cxn modelId="{2BC30281-932E-47F7-B853-B1FA054A9159}" type="presParOf" srcId="{3A30666E-6376-4DD6-9351-34A15EE27EAD}" destId="{B6EC1FE6-B953-4118-994F-B503E32D4FD8}" srcOrd="1" destOrd="0" presId="urn:diagrams.loki3.com/BracketList"/>
    <dgm:cxn modelId="{84DB801D-88AD-4234-8026-3E9C412A21E8}" type="presParOf" srcId="{3A30666E-6376-4DD6-9351-34A15EE27EAD}" destId="{5597D4AD-DEC4-44F4-9A27-61C5B9E3E539}" srcOrd="2" destOrd="0" presId="urn:diagrams.loki3.com/BracketList"/>
    <dgm:cxn modelId="{43600816-8EF2-4D2A-8CB6-CCFF1B8DD8E7}" type="presParOf" srcId="{3A30666E-6376-4DD6-9351-34A15EE27EAD}" destId="{F7A8F5B6-9879-44A3-9137-06DDDDA79E01}" srcOrd="3" destOrd="0" presId="urn:diagrams.loki3.com/BracketList"/>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54B135-1664-48B7-AC3A-16483055BE34}">
      <dsp:nvSpPr>
        <dsp:cNvPr id="0" name=""/>
        <dsp:cNvSpPr/>
      </dsp:nvSpPr>
      <dsp:spPr>
        <a:xfrm>
          <a:off x="3958113" y="30959"/>
          <a:ext cx="1319371" cy="5148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20320" rIns="56896" bIns="20320" numCol="1" spcCol="1270" anchor="ctr" anchorCtr="0">
          <a:noAutofit/>
        </a:bodyPr>
        <a:lstStyle/>
        <a:p>
          <a:pPr marL="0" lvl="0" indent="0" algn="l" defTabSz="355600">
            <a:lnSpc>
              <a:spcPct val="90000"/>
            </a:lnSpc>
            <a:spcBef>
              <a:spcPct val="0"/>
            </a:spcBef>
            <a:spcAft>
              <a:spcPct val="35000"/>
            </a:spcAft>
            <a:buNone/>
          </a:pPr>
          <a:r>
            <a:rPr lang="en-GB" sz="800" b="1" kern="1200">
              <a:solidFill>
                <a:sysClr val="windowText" lastClr="000000">
                  <a:hueOff val="0"/>
                  <a:satOff val="0"/>
                  <a:lumOff val="0"/>
                  <a:alphaOff val="0"/>
                </a:sysClr>
              </a:solidFill>
              <a:latin typeface="Century Gothic" panose="020B0502020202020204" pitchFamily="34" charset="0"/>
              <a:ea typeface="+mn-ea"/>
              <a:cs typeface="+mn-cs"/>
            </a:rPr>
            <a:t>Why we elaborated </a:t>
          </a:r>
          <a:r>
            <a:rPr lang="en-GB" sz="800" b="1" kern="1200">
              <a:solidFill>
                <a:srgbClr val="70AD47">
                  <a:lumMod val="75000"/>
                </a:srgbClr>
              </a:solidFill>
              <a:latin typeface="Century Gothic" panose="020B0502020202020204" pitchFamily="34" charset="0"/>
              <a:ea typeface="+mn-ea"/>
              <a:cs typeface="+mn-cs"/>
            </a:rPr>
            <a:t>updated/upgraded </a:t>
          </a:r>
          <a:r>
            <a:rPr lang="en-GB" sz="800" b="1" kern="1200">
              <a:solidFill>
                <a:sysClr val="windowText" lastClr="000000">
                  <a:hueOff val="0"/>
                  <a:satOff val="0"/>
                  <a:lumOff val="0"/>
                  <a:alphaOff val="0"/>
                </a:sysClr>
              </a:solidFill>
              <a:latin typeface="Century Gothic" panose="020B0502020202020204" pitchFamily="34" charset="0"/>
              <a:ea typeface="+mn-ea"/>
              <a:cs typeface="+mn-cs"/>
            </a:rPr>
            <a:t>our </a:t>
          </a:r>
          <a:r>
            <a:rPr lang="en-GB" sz="800" b="1" kern="1200">
              <a:solidFill>
                <a:srgbClr val="9BBB59">
                  <a:lumMod val="75000"/>
                </a:srgbClr>
              </a:solidFill>
              <a:latin typeface="Century Gothic" panose="020B0502020202020204" pitchFamily="34" charset="0"/>
              <a:ea typeface="+mn-ea"/>
              <a:cs typeface="+mn-cs"/>
            </a:rPr>
            <a:t>SEAP</a:t>
          </a:r>
          <a:r>
            <a:rPr lang="en-GB" sz="800" b="1" kern="1200">
              <a:solidFill>
                <a:sysClr val="windowText" lastClr="000000">
                  <a:hueOff val="0"/>
                  <a:satOff val="0"/>
                  <a:lumOff val="0"/>
                  <a:alphaOff val="0"/>
                </a:sysClr>
              </a:solidFill>
              <a:latin typeface="Century Gothic" panose="020B0502020202020204" pitchFamily="34" charset="0"/>
              <a:ea typeface="+mn-ea"/>
              <a:cs typeface="+mn-cs"/>
            </a:rPr>
            <a:t> /SECAP</a:t>
          </a:r>
          <a:endParaRPr lang="en-US" sz="800" b="1" kern="1200">
            <a:solidFill>
              <a:sysClr val="windowText" lastClr="000000">
                <a:hueOff val="0"/>
                <a:satOff val="0"/>
                <a:lumOff val="0"/>
                <a:alphaOff val="0"/>
              </a:sysClr>
            </a:solidFill>
            <a:latin typeface="Century Gothic" panose="020B0502020202020204" pitchFamily="34" charset="0"/>
            <a:ea typeface="+mn-ea"/>
            <a:cs typeface="+mn-cs"/>
          </a:endParaRPr>
        </a:p>
      </dsp:txBody>
      <dsp:txXfrm>
        <a:off x="3958113" y="30959"/>
        <a:ext cx="1319371" cy="514800"/>
      </dsp:txXfrm>
    </dsp:sp>
    <dsp:sp modelId="{A45B326B-74EC-43F8-AFE0-3659AE88D7EC}">
      <dsp:nvSpPr>
        <dsp:cNvPr id="0" name=""/>
        <dsp:cNvSpPr/>
      </dsp:nvSpPr>
      <dsp:spPr>
        <a:xfrm rot="10800000">
          <a:off x="3694239" y="30959"/>
          <a:ext cx="263874" cy="514800"/>
        </a:xfrm>
        <a:prstGeom prst="leftBrace">
          <a:avLst>
            <a:gd name="adj1" fmla="val 35000"/>
            <a:gd name="adj2" fmla="val 50000"/>
          </a:avLst>
        </a:prstGeom>
        <a:noFill/>
        <a:ln w="12700" cap="flat" cmpd="sng" algn="ctr">
          <a:solidFill>
            <a:srgbClr val="4472C4">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39D73EE-20A7-488D-B5F3-02973258EABD}">
      <dsp:nvSpPr>
        <dsp:cNvPr id="0" name=""/>
        <dsp:cNvSpPr/>
      </dsp:nvSpPr>
      <dsp:spPr>
        <a:xfrm>
          <a:off x="0" y="30959"/>
          <a:ext cx="3588689" cy="514800"/>
        </a:xfrm>
        <a:prstGeom prst="rect">
          <a:avLst/>
        </a:prstGeom>
        <a:solidFill>
          <a:srgbClr val="4472C4">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57150" lvl="1" indent="-57150" algn="l" defTabSz="355600">
            <a:lnSpc>
              <a:spcPct val="90000"/>
            </a:lnSpc>
            <a:spcBef>
              <a:spcPct val="0"/>
            </a:spcBef>
            <a:spcAft>
              <a:spcPct val="15000"/>
            </a:spcAft>
            <a:buChar char="•"/>
          </a:pPr>
          <a:r>
            <a:rPr lang="en-US" sz="800" kern="1200">
              <a:solidFill>
                <a:srgbClr val="ED7D31"/>
              </a:solidFill>
              <a:latin typeface="Century Gothic" panose="020B0502020202020204" pitchFamily="34" charset="0"/>
              <a:ea typeface="+mn-ea"/>
              <a:cs typeface="+mn-cs"/>
            </a:rPr>
            <a:t>to adjust our future activities toward the set up goals</a:t>
          </a:r>
        </a:p>
      </dsp:txBody>
      <dsp:txXfrm>
        <a:off x="0" y="30959"/>
        <a:ext cx="3588689" cy="514800"/>
      </dsp:txXfrm>
    </dsp:sp>
    <dsp:sp modelId="{7AE51FEA-B033-4C2D-8713-51889DF72EC6}">
      <dsp:nvSpPr>
        <dsp:cNvPr id="0" name=""/>
        <dsp:cNvSpPr/>
      </dsp:nvSpPr>
      <dsp:spPr>
        <a:xfrm>
          <a:off x="3958113" y="639360"/>
          <a:ext cx="1319371" cy="5148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20320" rIns="56896" bIns="20320" numCol="1" spcCol="1270" anchor="ctr" anchorCtr="0">
          <a:noAutofit/>
        </a:bodyPr>
        <a:lstStyle/>
        <a:p>
          <a:pPr marL="0" lvl="0" indent="0" algn="l" defTabSz="355600">
            <a:lnSpc>
              <a:spcPct val="90000"/>
            </a:lnSpc>
            <a:spcBef>
              <a:spcPct val="0"/>
            </a:spcBef>
            <a:spcAft>
              <a:spcPct val="35000"/>
            </a:spcAft>
            <a:buNone/>
          </a:pPr>
          <a:r>
            <a:rPr lang="en-GB" sz="800" b="1" kern="1200">
              <a:solidFill>
                <a:sysClr val="windowText" lastClr="000000">
                  <a:hueOff val="0"/>
                  <a:satOff val="0"/>
                  <a:lumOff val="0"/>
                  <a:alphaOff val="0"/>
                </a:sysClr>
              </a:solidFill>
              <a:latin typeface="Century Gothic" panose="020B0502020202020204" pitchFamily="34" charset="0"/>
              <a:ea typeface="+mn-ea"/>
              <a:cs typeface="+mn-cs"/>
            </a:rPr>
            <a:t>Challenges and Opportunities</a:t>
          </a:r>
          <a:endParaRPr lang="el-GR" sz="800" b="1" kern="1200">
            <a:solidFill>
              <a:sysClr val="windowText" lastClr="000000">
                <a:hueOff val="0"/>
                <a:satOff val="0"/>
                <a:lumOff val="0"/>
                <a:alphaOff val="0"/>
              </a:sysClr>
            </a:solidFill>
            <a:latin typeface="Century Gothic" panose="020B0502020202020204" pitchFamily="34" charset="0"/>
            <a:ea typeface="+mn-ea"/>
            <a:cs typeface="+mn-cs"/>
          </a:endParaRPr>
        </a:p>
      </dsp:txBody>
      <dsp:txXfrm>
        <a:off x="3958113" y="639360"/>
        <a:ext cx="1319371" cy="514800"/>
      </dsp:txXfrm>
    </dsp:sp>
    <dsp:sp modelId="{B0FA5F02-A54A-4904-8EE5-D03806543B5A}">
      <dsp:nvSpPr>
        <dsp:cNvPr id="0" name=""/>
        <dsp:cNvSpPr/>
      </dsp:nvSpPr>
      <dsp:spPr>
        <a:xfrm rot="10800000">
          <a:off x="3694239" y="639360"/>
          <a:ext cx="263874" cy="514800"/>
        </a:xfrm>
        <a:prstGeom prst="leftBrace">
          <a:avLst>
            <a:gd name="adj1" fmla="val 35000"/>
            <a:gd name="adj2" fmla="val 50000"/>
          </a:avLst>
        </a:prstGeom>
        <a:noFill/>
        <a:ln w="12700" cap="flat" cmpd="sng" algn="ctr">
          <a:solidFill>
            <a:srgbClr val="4472C4">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DCAC433-2C55-4EC1-8752-53E840005F8A}">
      <dsp:nvSpPr>
        <dsp:cNvPr id="0" name=""/>
        <dsp:cNvSpPr/>
      </dsp:nvSpPr>
      <dsp:spPr>
        <a:xfrm>
          <a:off x="0" y="639360"/>
          <a:ext cx="3588689" cy="514800"/>
        </a:xfrm>
        <a:prstGeom prst="rect">
          <a:avLst/>
        </a:prstGeom>
        <a:solidFill>
          <a:srgbClr val="4472C4">
            <a:hueOff val="-1838336"/>
            <a:satOff val="-2557"/>
            <a:lumOff val="-981"/>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57150" lvl="1" indent="-57150" algn="l" defTabSz="355600">
            <a:lnSpc>
              <a:spcPct val="90000"/>
            </a:lnSpc>
            <a:spcBef>
              <a:spcPct val="0"/>
            </a:spcBef>
            <a:spcAft>
              <a:spcPct val="15000"/>
            </a:spcAft>
            <a:buChar char="•"/>
          </a:pPr>
          <a:r>
            <a:rPr lang="hr-HR" sz="800" kern="1200">
              <a:solidFill>
                <a:srgbClr val="ED7D31"/>
              </a:solidFill>
              <a:latin typeface="Century Gothic" panose="020B0502020202020204" pitchFamily="34" charset="0"/>
              <a:ea typeface="+mn-ea"/>
              <a:cs typeface="+mn-cs"/>
            </a:rPr>
            <a:t>lack of human resources</a:t>
          </a:r>
          <a:endParaRPr lang="el-GR" sz="800" kern="1200">
            <a:solidFill>
              <a:srgbClr val="ED7D31"/>
            </a:solidFill>
            <a:latin typeface="Century Gothic" panose="020B0502020202020204" pitchFamily="34" charset="0"/>
            <a:ea typeface="+mn-ea"/>
            <a:cs typeface="+mn-cs"/>
          </a:endParaRPr>
        </a:p>
        <a:p>
          <a:pPr marL="57150" lvl="1" indent="-57150" algn="l" defTabSz="355600">
            <a:lnSpc>
              <a:spcPct val="90000"/>
            </a:lnSpc>
            <a:spcBef>
              <a:spcPct val="0"/>
            </a:spcBef>
            <a:spcAft>
              <a:spcPct val="15000"/>
            </a:spcAft>
            <a:buChar char="•"/>
          </a:pPr>
          <a:r>
            <a:rPr lang="hr-HR" sz="800" kern="1200">
              <a:solidFill>
                <a:srgbClr val="ED7D31"/>
              </a:solidFill>
              <a:latin typeface="Century Gothic" panose="020B0502020202020204" pitchFamily="34" charset="0"/>
              <a:ea typeface="+mn-ea"/>
              <a:cs typeface="+mn-cs"/>
            </a:rPr>
            <a:t>unavailability of data</a:t>
          </a:r>
        </a:p>
        <a:p>
          <a:pPr marL="57150" lvl="1" indent="-57150" algn="l" defTabSz="355600">
            <a:lnSpc>
              <a:spcPct val="90000"/>
            </a:lnSpc>
            <a:spcBef>
              <a:spcPct val="0"/>
            </a:spcBef>
            <a:spcAft>
              <a:spcPct val="15000"/>
            </a:spcAft>
            <a:buChar char="•"/>
          </a:pPr>
          <a:r>
            <a:rPr lang="hr-HR" sz="800" kern="1200">
              <a:solidFill>
                <a:srgbClr val="ED7D31"/>
              </a:solidFill>
              <a:latin typeface="Century Gothic" panose="020B0502020202020204" pitchFamily="34" charset="0"/>
              <a:ea typeface="+mn-ea"/>
              <a:cs typeface="+mn-cs"/>
            </a:rPr>
            <a:t>data exactness and credibility</a:t>
          </a:r>
        </a:p>
      </dsp:txBody>
      <dsp:txXfrm>
        <a:off x="0" y="639360"/>
        <a:ext cx="3588689" cy="514800"/>
      </dsp:txXfrm>
    </dsp:sp>
    <dsp:sp modelId="{3B6F0D54-1059-4222-BC00-DD5B66A8521A}">
      <dsp:nvSpPr>
        <dsp:cNvPr id="0" name=""/>
        <dsp:cNvSpPr/>
      </dsp:nvSpPr>
      <dsp:spPr>
        <a:xfrm>
          <a:off x="3958113" y="1279935"/>
          <a:ext cx="1319371" cy="5148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20320" rIns="56896" bIns="20320" numCol="1" spcCol="1270" anchor="ctr" anchorCtr="0">
          <a:noAutofit/>
        </a:bodyPr>
        <a:lstStyle/>
        <a:p>
          <a:pPr marL="0" lvl="0" indent="0" algn="l" defTabSz="355600">
            <a:lnSpc>
              <a:spcPct val="90000"/>
            </a:lnSpc>
            <a:spcBef>
              <a:spcPct val="0"/>
            </a:spcBef>
            <a:spcAft>
              <a:spcPct val="35000"/>
            </a:spcAft>
            <a:buNone/>
          </a:pPr>
          <a:r>
            <a:rPr lang="en-GB" sz="800" b="1" kern="1200">
              <a:solidFill>
                <a:sysClr val="windowText" lastClr="000000">
                  <a:hueOff val="0"/>
                  <a:satOff val="0"/>
                  <a:lumOff val="0"/>
                  <a:alphaOff val="0"/>
                </a:sysClr>
              </a:solidFill>
              <a:latin typeface="Century Gothic" panose="020B0502020202020204" pitchFamily="34" charset="0"/>
              <a:ea typeface="+mn-ea"/>
              <a:cs typeface="+mn-cs"/>
            </a:rPr>
            <a:t>Emissions and Targets at a glance  </a:t>
          </a:r>
          <a:endParaRPr lang="el-GR" sz="800" b="1" kern="1200">
            <a:solidFill>
              <a:sysClr val="windowText" lastClr="000000">
                <a:hueOff val="0"/>
                <a:satOff val="0"/>
                <a:lumOff val="0"/>
                <a:alphaOff val="0"/>
              </a:sysClr>
            </a:solidFill>
            <a:latin typeface="Century Gothic" panose="020B0502020202020204" pitchFamily="34" charset="0"/>
            <a:ea typeface="+mn-ea"/>
            <a:cs typeface="+mn-cs"/>
          </a:endParaRPr>
        </a:p>
      </dsp:txBody>
      <dsp:txXfrm>
        <a:off x="3958113" y="1279935"/>
        <a:ext cx="1319371" cy="514800"/>
      </dsp:txXfrm>
    </dsp:sp>
    <dsp:sp modelId="{0A82CDA7-2ADA-4AC1-865C-B6395A6B3B87}">
      <dsp:nvSpPr>
        <dsp:cNvPr id="0" name=""/>
        <dsp:cNvSpPr/>
      </dsp:nvSpPr>
      <dsp:spPr>
        <a:xfrm rot="10800000">
          <a:off x="3694239" y="1247760"/>
          <a:ext cx="263874" cy="579150"/>
        </a:xfrm>
        <a:prstGeom prst="leftBrace">
          <a:avLst>
            <a:gd name="adj1" fmla="val 35000"/>
            <a:gd name="adj2" fmla="val 50000"/>
          </a:avLst>
        </a:prstGeom>
        <a:noFill/>
        <a:ln w="12700" cap="flat" cmpd="sng" algn="ctr">
          <a:solidFill>
            <a:srgbClr val="4472C4">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DED1514-F865-4F6F-BBB7-6AB770DD8CD0}">
      <dsp:nvSpPr>
        <dsp:cNvPr id="0" name=""/>
        <dsp:cNvSpPr/>
      </dsp:nvSpPr>
      <dsp:spPr>
        <a:xfrm>
          <a:off x="0" y="1247760"/>
          <a:ext cx="3588689" cy="579150"/>
        </a:xfrm>
        <a:prstGeom prst="rect">
          <a:avLst/>
        </a:prstGeom>
        <a:solidFill>
          <a:srgbClr val="4472C4">
            <a:hueOff val="-3676672"/>
            <a:satOff val="-5114"/>
            <a:lumOff val="-1961"/>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57150" lvl="1" indent="-57150" algn="l" defTabSz="355600">
            <a:lnSpc>
              <a:spcPct val="90000"/>
            </a:lnSpc>
            <a:spcBef>
              <a:spcPct val="0"/>
            </a:spcBef>
            <a:spcAft>
              <a:spcPct val="15000"/>
            </a:spcAft>
            <a:buChar char="•"/>
          </a:pPr>
          <a:r>
            <a:rPr lang="en-US" sz="800" kern="1200">
              <a:solidFill>
                <a:srgbClr val="ED7D31"/>
              </a:solidFill>
              <a:latin typeface="Century Gothic" panose="020B0502020202020204" pitchFamily="34" charset="0"/>
              <a:ea typeface="+mn-ea"/>
              <a:cs typeface="+mn-cs"/>
            </a:rPr>
            <a:t>Building sector </a:t>
          </a:r>
          <a:r>
            <a:rPr lang="hr-HR" sz="800" kern="1200">
              <a:solidFill>
                <a:srgbClr val="ED7D31"/>
              </a:solidFill>
              <a:latin typeface="Century Gothic" panose="020B0502020202020204" pitchFamily="34" charset="0"/>
              <a:ea typeface="+mn-ea"/>
              <a:cs typeface="+mn-cs"/>
            </a:rPr>
            <a:t>3,401.91</a:t>
          </a:r>
          <a:r>
            <a:rPr lang="en-US" sz="800" kern="1200">
              <a:solidFill>
                <a:srgbClr val="ED7D31"/>
              </a:solidFill>
              <a:latin typeface="Century Gothic" panose="020B0502020202020204" pitchFamily="34" charset="0"/>
              <a:ea typeface="+mn-ea"/>
              <a:cs typeface="+mn-cs"/>
            </a:rPr>
            <a:t> t CO2 in 2017, target </a:t>
          </a:r>
          <a:r>
            <a:rPr lang="hr-HR" sz="800" kern="1200">
              <a:solidFill>
                <a:srgbClr val="ED7D31"/>
              </a:solidFill>
              <a:latin typeface="Century Gothic" panose="020B0502020202020204" pitchFamily="34" charset="0"/>
              <a:ea typeface="+mn-ea"/>
              <a:cs typeface="+mn-cs"/>
            </a:rPr>
            <a:t>2,035.55</a:t>
          </a:r>
          <a:r>
            <a:rPr lang="en-US" sz="800" kern="1200">
              <a:solidFill>
                <a:srgbClr val="ED7D31"/>
              </a:solidFill>
              <a:latin typeface="Century Gothic" panose="020B0502020202020204" pitchFamily="34" charset="0"/>
              <a:ea typeface="+mn-ea"/>
              <a:cs typeface="+mn-cs"/>
            </a:rPr>
            <a:t> t CO2 in 2030</a:t>
          </a:r>
          <a:endParaRPr lang="el-GR" sz="800" kern="1200">
            <a:solidFill>
              <a:srgbClr val="ED7D31"/>
            </a:solidFill>
            <a:latin typeface="Century Gothic" panose="020B0502020202020204" pitchFamily="34" charset="0"/>
            <a:ea typeface="+mn-ea"/>
            <a:cs typeface="+mn-cs"/>
          </a:endParaRPr>
        </a:p>
        <a:p>
          <a:pPr marL="57150" lvl="1" indent="-57150" algn="l" defTabSz="355600">
            <a:lnSpc>
              <a:spcPct val="90000"/>
            </a:lnSpc>
            <a:spcBef>
              <a:spcPct val="0"/>
            </a:spcBef>
            <a:spcAft>
              <a:spcPct val="15000"/>
            </a:spcAft>
            <a:buChar char="•"/>
          </a:pPr>
          <a:r>
            <a:rPr lang="en-US" sz="800" kern="1200">
              <a:solidFill>
                <a:srgbClr val="ED7D31"/>
              </a:solidFill>
              <a:latin typeface="Century Gothic" panose="020B0502020202020204" pitchFamily="34" charset="0"/>
              <a:ea typeface="+mn-ea"/>
              <a:cs typeface="+mn-cs"/>
            </a:rPr>
            <a:t>Transport sector </a:t>
          </a:r>
          <a:r>
            <a:rPr lang="hr-HR" sz="800" kern="1200">
              <a:solidFill>
                <a:srgbClr val="ED7D31"/>
              </a:solidFill>
              <a:latin typeface="Century Gothic" panose="020B0502020202020204" pitchFamily="34" charset="0"/>
              <a:ea typeface="+mn-ea"/>
              <a:cs typeface="+mn-cs"/>
            </a:rPr>
            <a:t>24,991.84</a:t>
          </a:r>
          <a:r>
            <a:rPr lang="en-US" sz="800" kern="1200">
              <a:solidFill>
                <a:srgbClr val="ED7D31"/>
              </a:solidFill>
              <a:latin typeface="Century Gothic" panose="020B0502020202020204" pitchFamily="34" charset="0"/>
              <a:ea typeface="+mn-ea"/>
              <a:cs typeface="+mn-cs"/>
            </a:rPr>
            <a:t> t CO2 in 2017, target </a:t>
          </a:r>
          <a:r>
            <a:rPr lang="hr-HR" sz="800" kern="1200">
              <a:solidFill>
                <a:srgbClr val="ED7D31"/>
              </a:solidFill>
              <a:latin typeface="Century Gothic" panose="020B0502020202020204" pitchFamily="34" charset="0"/>
              <a:ea typeface="+mn-ea"/>
              <a:cs typeface="+mn-cs"/>
            </a:rPr>
            <a:t>14,986.63</a:t>
          </a:r>
          <a:r>
            <a:rPr lang="en-US" sz="800" kern="1200">
              <a:solidFill>
                <a:srgbClr val="ED7D31"/>
              </a:solidFill>
              <a:latin typeface="Century Gothic" panose="020B0502020202020204" pitchFamily="34" charset="0"/>
              <a:ea typeface="+mn-ea"/>
              <a:cs typeface="+mn-cs"/>
            </a:rPr>
            <a:t> t CO2 in 2030</a:t>
          </a:r>
        </a:p>
        <a:p>
          <a:pPr marL="57150" lvl="1" indent="-57150" algn="l" defTabSz="355600">
            <a:lnSpc>
              <a:spcPct val="90000"/>
            </a:lnSpc>
            <a:spcBef>
              <a:spcPct val="0"/>
            </a:spcBef>
            <a:spcAft>
              <a:spcPct val="15000"/>
            </a:spcAft>
            <a:buChar char="•"/>
          </a:pPr>
          <a:r>
            <a:rPr lang="en-US" sz="800" kern="1200">
              <a:solidFill>
                <a:srgbClr val="ED7D31"/>
              </a:solidFill>
              <a:latin typeface="Century Gothic" panose="020B0502020202020204" pitchFamily="34" charset="0"/>
              <a:ea typeface="+mn-ea"/>
              <a:cs typeface="+mn-cs"/>
            </a:rPr>
            <a:t>Publich lighting sector </a:t>
          </a:r>
          <a:r>
            <a:rPr lang="hr-HR" sz="800" kern="1200">
              <a:solidFill>
                <a:srgbClr val="ED7D31"/>
              </a:solidFill>
              <a:latin typeface="Century Gothic" panose="020B0502020202020204" pitchFamily="34" charset="0"/>
              <a:ea typeface="+mn-ea"/>
              <a:cs typeface="+mn-cs"/>
            </a:rPr>
            <a:t>50.73</a:t>
          </a:r>
          <a:r>
            <a:rPr lang="en-US" sz="800" kern="1200">
              <a:solidFill>
                <a:srgbClr val="ED7D31"/>
              </a:solidFill>
              <a:latin typeface="Century Gothic" panose="020B0502020202020204" pitchFamily="34" charset="0"/>
              <a:ea typeface="+mn-ea"/>
              <a:cs typeface="+mn-cs"/>
            </a:rPr>
            <a:t> t CO2 in 2017, target </a:t>
          </a:r>
          <a:r>
            <a:rPr lang="hr-HR" sz="800" kern="1200">
              <a:solidFill>
                <a:srgbClr val="ED7D31"/>
              </a:solidFill>
              <a:latin typeface="Century Gothic" panose="020B0502020202020204" pitchFamily="34" charset="0"/>
              <a:ea typeface="+mn-ea"/>
              <a:cs typeface="+mn-cs"/>
            </a:rPr>
            <a:t>44.73</a:t>
          </a:r>
          <a:r>
            <a:rPr lang="en-US" sz="800" kern="1200">
              <a:solidFill>
                <a:srgbClr val="ED7D31"/>
              </a:solidFill>
              <a:latin typeface="Century Gothic" panose="020B0502020202020204" pitchFamily="34" charset="0"/>
              <a:ea typeface="+mn-ea"/>
              <a:cs typeface="+mn-cs"/>
            </a:rPr>
            <a:t> t CO2 in 2030</a:t>
          </a:r>
        </a:p>
        <a:p>
          <a:pPr marL="57150" lvl="1" indent="-57150" algn="l" defTabSz="355600">
            <a:lnSpc>
              <a:spcPct val="90000"/>
            </a:lnSpc>
            <a:spcBef>
              <a:spcPct val="0"/>
            </a:spcBef>
            <a:spcAft>
              <a:spcPct val="15000"/>
            </a:spcAft>
            <a:buChar char="•"/>
          </a:pPr>
          <a:r>
            <a:rPr lang="en-US" sz="800" kern="1200">
              <a:solidFill>
                <a:srgbClr val="ED7D31"/>
              </a:solidFill>
              <a:latin typeface="Century Gothic" panose="020B0502020202020204" pitchFamily="34" charset="0"/>
              <a:ea typeface="+mn-ea"/>
              <a:cs typeface="+mn-cs"/>
            </a:rPr>
            <a:t>Total </a:t>
          </a:r>
          <a:r>
            <a:rPr lang="hr-HR" sz="800" kern="1200">
              <a:solidFill>
                <a:srgbClr val="ED7D31"/>
              </a:solidFill>
              <a:latin typeface="Century Gothic" panose="020B0502020202020204" pitchFamily="34" charset="0"/>
              <a:ea typeface="+mn-ea"/>
              <a:cs typeface="+mn-cs"/>
            </a:rPr>
            <a:t>28,444.48</a:t>
          </a:r>
          <a:r>
            <a:rPr lang="en-US" sz="800" kern="1200">
              <a:solidFill>
                <a:srgbClr val="ED7D31"/>
              </a:solidFill>
              <a:latin typeface="Century Gothic" panose="020B0502020202020204" pitchFamily="34" charset="0"/>
              <a:ea typeface="+mn-ea"/>
              <a:cs typeface="+mn-cs"/>
            </a:rPr>
            <a:t> t CO2 in 2017, target </a:t>
          </a:r>
          <a:r>
            <a:rPr lang="hr-HR" sz="800" kern="1200">
              <a:solidFill>
                <a:srgbClr val="ED7D31"/>
              </a:solidFill>
              <a:latin typeface="Century Gothic" panose="020B0502020202020204" pitchFamily="34" charset="0"/>
              <a:ea typeface="+mn-ea"/>
              <a:cs typeface="+mn-cs"/>
            </a:rPr>
            <a:t>17,066.92</a:t>
          </a:r>
          <a:r>
            <a:rPr lang="en-US" sz="800" kern="1200">
              <a:solidFill>
                <a:srgbClr val="ED7D31"/>
              </a:solidFill>
              <a:latin typeface="Century Gothic" panose="020B0502020202020204" pitchFamily="34" charset="0"/>
              <a:ea typeface="+mn-ea"/>
              <a:cs typeface="+mn-cs"/>
            </a:rPr>
            <a:t> t CO2 in 2030</a:t>
          </a:r>
        </a:p>
      </dsp:txBody>
      <dsp:txXfrm>
        <a:off x="0" y="1247760"/>
        <a:ext cx="3588689" cy="579150"/>
      </dsp:txXfrm>
    </dsp:sp>
    <dsp:sp modelId="{347B755A-19C6-4369-A5A9-F407F976B0E4}">
      <dsp:nvSpPr>
        <dsp:cNvPr id="0" name=""/>
        <dsp:cNvSpPr/>
      </dsp:nvSpPr>
      <dsp:spPr>
        <a:xfrm>
          <a:off x="3958113" y="1920510"/>
          <a:ext cx="1319371" cy="5148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20320" rIns="56896" bIns="20320" numCol="1" spcCol="1270" anchor="ctr" anchorCtr="0">
          <a:noAutofit/>
        </a:bodyPr>
        <a:lstStyle/>
        <a:p>
          <a:pPr marL="0" lvl="0" indent="0" algn="l" defTabSz="355600">
            <a:lnSpc>
              <a:spcPct val="90000"/>
            </a:lnSpc>
            <a:spcBef>
              <a:spcPct val="0"/>
            </a:spcBef>
            <a:spcAft>
              <a:spcPct val="35000"/>
            </a:spcAft>
            <a:buNone/>
          </a:pPr>
          <a:r>
            <a:rPr lang="en-GB" sz="800" b="1" kern="1200">
              <a:solidFill>
                <a:sysClr val="windowText" lastClr="000000">
                  <a:hueOff val="0"/>
                  <a:satOff val="0"/>
                  <a:lumOff val="0"/>
                  <a:alphaOff val="0"/>
                </a:sysClr>
              </a:solidFill>
              <a:latin typeface="Century Gothic" panose="020B0502020202020204" pitchFamily="34" charset="0"/>
              <a:ea typeface="+mn-ea"/>
              <a:cs typeface="+mn-cs"/>
            </a:rPr>
            <a:t>Baseline</a:t>
          </a:r>
          <a:endParaRPr lang="el-GR" sz="800" b="1" kern="1200">
            <a:solidFill>
              <a:sysClr val="windowText" lastClr="000000">
                <a:hueOff val="0"/>
                <a:satOff val="0"/>
                <a:lumOff val="0"/>
                <a:alphaOff val="0"/>
              </a:sysClr>
            </a:solidFill>
            <a:latin typeface="Century Gothic" panose="020B0502020202020204" pitchFamily="34" charset="0"/>
            <a:ea typeface="+mn-ea"/>
            <a:cs typeface="+mn-cs"/>
          </a:endParaRPr>
        </a:p>
      </dsp:txBody>
      <dsp:txXfrm>
        <a:off x="3958113" y="1920510"/>
        <a:ext cx="1319371" cy="514800"/>
      </dsp:txXfrm>
    </dsp:sp>
    <dsp:sp modelId="{B7685F7F-4EE2-4FFE-8E34-0A9389150B83}">
      <dsp:nvSpPr>
        <dsp:cNvPr id="0" name=""/>
        <dsp:cNvSpPr/>
      </dsp:nvSpPr>
      <dsp:spPr>
        <a:xfrm rot="10800000">
          <a:off x="3694239" y="1920510"/>
          <a:ext cx="263874" cy="514800"/>
        </a:xfrm>
        <a:prstGeom prst="leftBrace">
          <a:avLst>
            <a:gd name="adj1" fmla="val 35000"/>
            <a:gd name="adj2" fmla="val 50000"/>
          </a:avLst>
        </a:prstGeom>
        <a:noFill/>
        <a:ln w="12700" cap="flat" cmpd="sng" algn="ctr">
          <a:solidFill>
            <a:srgbClr val="4472C4">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3476276-D887-4C6B-A000-3C41D168EDA1}">
      <dsp:nvSpPr>
        <dsp:cNvPr id="0" name=""/>
        <dsp:cNvSpPr/>
      </dsp:nvSpPr>
      <dsp:spPr>
        <a:xfrm>
          <a:off x="0" y="1920510"/>
          <a:ext cx="3588689" cy="514800"/>
        </a:xfrm>
        <a:prstGeom prst="rect">
          <a:avLst/>
        </a:prstGeom>
        <a:solidFill>
          <a:srgbClr val="4472C4">
            <a:hueOff val="-5515009"/>
            <a:satOff val="-7671"/>
            <a:lumOff val="-294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57150" lvl="1" indent="-57150" algn="l" defTabSz="355600">
            <a:lnSpc>
              <a:spcPct val="90000"/>
            </a:lnSpc>
            <a:spcBef>
              <a:spcPct val="0"/>
            </a:spcBef>
            <a:spcAft>
              <a:spcPct val="15000"/>
            </a:spcAft>
            <a:buChar char="•"/>
          </a:pPr>
          <a:r>
            <a:rPr lang="en-GB" sz="800" b="0" i="0" kern="1200">
              <a:solidFill>
                <a:sysClr val="window" lastClr="FFFFFF"/>
              </a:solidFill>
              <a:latin typeface="Century Gothic" panose="020B0502020202020204" pitchFamily="34" charset="0"/>
              <a:ea typeface="+mn-ea"/>
              <a:cs typeface="+mn-cs"/>
            </a:rPr>
            <a:t>The Baseline Year for the </a:t>
          </a:r>
          <a:r>
            <a:rPr lang="en-GB" sz="800" b="0" i="0" kern="1200">
              <a:solidFill>
                <a:srgbClr val="ED7D31"/>
              </a:solidFill>
              <a:latin typeface="Century Gothic" panose="020B0502020202020204" pitchFamily="34" charset="0"/>
              <a:ea typeface="+mn-ea"/>
              <a:cs typeface="+mn-cs"/>
            </a:rPr>
            <a:t>SEAP</a:t>
          </a:r>
          <a:r>
            <a:rPr lang="hr-HR" sz="800" b="0" i="0" kern="1200">
              <a:solidFill>
                <a:srgbClr val="ED7D31"/>
              </a:solidFill>
              <a:latin typeface="Century Gothic" panose="020B0502020202020204" pitchFamily="34" charset="0"/>
              <a:ea typeface="+mn-ea"/>
              <a:cs typeface="+mn-cs"/>
            </a:rPr>
            <a:t> </a:t>
          </a:r>
          <a:r>
            <a:rPr lang="en-GB" sz="800" b="0" i="0" kern="1200">
              <a:solidFill>
                <a:srgbClr val="ED7D31"/>
              </a:solidFill>
              <a:latin typeface="Century Gothic" panose="020B0502020202020204" pitchFamily="34" charset="0"/>
              <a:ea typeface="+mn-ea"/>
              <a:cs typeface="+mn-cs"/>
            </a:rPr>
            <a:t>is 20</a:t>
          </a:r>
          <a:r>
            <a:rPr lang="hr-HR" sz="800" b="0" i="0" kern="1200">
              <a:solidFill>
                <a:srgbClr val="ED7D31"/>
              </a:solidFill>
              <a:latin typeface="Century Gothic" panose="020B0502020202020204" pitchFamily="34" charset="0"/>
              <a:ea typeface="+mn-ea"/>
              <a:cs typeface="+mn-cs"/>
            </a:rPr>
            <a:t>17</a:t>
          </a:r>
          <a:r>
            <a:rPr lang="en-GB" sz="800" b="0" i="0" kern="1200">
              <a:solidFill>
                <a:sysClr val="window" lastClr="FFFFFF"/>
              </a:solidFill>
              <a:latin typeface="Century Gothic" panose="020B0502020202020204" pitchFamily="34" charset="0"/>
              <a:ea typeface="+mn-ea"/>
              <a:cs typeface="+mn-cs"/>
            </a:rPr>
            <a:t>.</a:t>
          </a:r>
          <a:br>
            <a:rPr lang="en-GB" sz="800" b="0" i="0" kern="1200">
              <a:solidFill>
                <a:sysClr val="window" lastClr="FFFFFF"/>
              </a:solidFill>
              <a:latin typeface="Century Gothic" panose="020B0502020202020204" pitchFamily="34" charset="0"/>
              <a:ea typeface="+mn-ea"/>
              <a:cs typeface="+mn-cs"/>
            </a:rPr>
          </a:br>
          <a:r>
            <a:rPr lang="en-GB" sz="800" b="0" i="0" kern="1200">
              <a:solidFill>
                <a:srgbClr val="70AD47">
                  <a:lumMod val="75000"/>
                </a:srgbClr>
              </a:solidFill>
              <a:latin typeface="Century Gothic" panose="020B0502020202020204" pitchFamily="34" charset="0"/>
              <a:ea typeface="+mn-ea"/>
              <a:cs typeface="+mn-cs"/>
            </a:rPr>
            <a:t>The </a:t>
          </a:r>
          <a:r>
            <a:rPr lang="hr-HR" sz="800" b="0" i="0" kern="1200">
              <a:solidFill>
                <a:srgbClr val="70AD47">
                  <a:lumMod val="75000"/>
                </a:srgbClr>
              </a:solidFill>
              <a:latin typeface="Century Gothic" panose="020B0502020202020204" pitchFamily="34" charset="0"/>
              <a:ea typeface="+mn-ea"/>
              <a:cs typeface="+mn-cs"/>
            </a:rPr>
            <a:t>BEI </a:t>
          </a:r>
          <a:r>
            <a:rPr lang="en-GB" sz="800" b="0" i="0" kern="1200">
              <a:solidFill>
                <a:srgbClr val="70AD47">
                  <a:lumMod val="75000"/>
                </a:srgbClr>
              </a:solidFill>
              <a:latin typeface="Century Gothic" panose="020B0502020202020204" pitchFamily="34" charset="0"/>
              <a:ea typeface="+mn-ea"/>
              <a:cs typeface="+mn-cs"/>
            </a:rPr>
            <a:t>(20</a:t>
          </a:r>
          <a:r>
            <a:rPr lang="hr-HR" sz="800" b="0" i="0" kern="1200">
              <a:solidFill>
                <a:srgbClr val="ED7D31"/>
              </a:solidFill>
              <a:latin typeface="Century Gothic" panose="020B0502020202020204" pitchFamily="34" charset="0"/>
              <a:ea typeface="+mn-ea"/>
              <a:cs typeface="+mn-cs"/>
            </a:rPr>
            <a:t>17</a:t>
          </a:r>
          <a:r>
            <a:rPr lang="en-GB" sz="800" b="0" i="0" kern="1200">
              <a:solidFill>
                <a:srgbClr val="70AD47">
                  <a:lumMod val="75000"/>
                </a:srgbClr>
              </a:solidFill>
              <a:latin typeface="Century Gothic" panose="020B0502020202020204" pitchFamily="34" charset="0"/>
              <a:ea typeface="+mn-ea"/>
              <a:cs typeface="+mn-cs"/>
            </a:rPr>
            <a:t>) indicates</a:t>
          </a:r>
          <a:r>
            <a:rPr lang="el-GR" sz="800" b="0" i="0" kern="1200">
              <a:solidFill>
                <a:srgbClr val="70AD47">
                  <a:lumMod val="75000"/>
                </a:srgbClr>
              </a:solidFill>
              <a:latin typeface="Century Gothic" panose="020B0502020202020204" pitchFamily="34" charset="0"/>
              <a:ea typeface="+mn-ea"/>
              <a:cs typeface="+mn-cs"/>
            </a:rPr>
            <a:t> </a:t>
          </a:r>
          <a:r>
            <a:rPr lang="en-GB" sz="800" b="0" i="0" kern="1200">
              <a:solidFill>
                <a:srgbClr val="70AD47">
                  <a:lumMod val="75000"/>
                </a:srgbClr>
              </a:solidFill>
              <a:latin typeface="Century Gothic" panose="020B0502020202020204" pitchFamily="34" charset="0"/>
              <a:ea typeface="+mn-ea"/>
              <a:cs typeface="+mn-cs"/>
            </a:rPr>
            <a:t>that</a:t>
          </a:r>
          <a:r>
            <a:rPr lang="el-GR" sz="800" b="0" i="0" kern="1200">
              <a:solidFill>
                <a:srgbClr val="70AD47">
                  <a:lumMod val="75000"/>
                </a:srgbClr>
              </a:solidFill>
              <a:latin typeface="Century Gothic" panose="020B0502020202020204" pitchFamily="34" charset="0"/>
              <a:ea typeface="+mn-ea"/>
              <a:cs typeface="+mn-cs"/>
            </a:rPr>
            <a:t> </a:t>
          </a:r>
          <a:r>
            <a:rPr lang="en-GB" sz="800" b="0" i="0" kern="1200">
              <a:solidFill>
                <a:srgbClr val="70AD47">
                  <a:lumMod val="75000"/>
                </a:srgbClr>
              </a:solidFill>
              <a:latin typeface="Century Gothic" panose="020B0502020202020204" pitchFamily="34" charset="0"/>
              <a:ea typeface="+mn-ea"/>
              <a:cs typeface="+mn-cs"/>
            </a:rPr>
            <a:t>the o</a:t>
          </a:r>
          <a:r>
            <a:rPr lang="en-GB" sz="800" b="0" i="0" u="none" kern="1200">
              <a:solidFill>
                <a:srgbClr val="70AD47">
                  <a:lumMod val="75000"/>
                </a:srgbClr>
              </a:solidFill>
              <a:latin typeface="Century Gothic" panose="020B0502020202020204" pitchFamily="34" charset="0"/>
              <a:ea typeface="+mn-ea"/>
              <a:cs typeface="+mn-cs"/>
            </a:rPr>
            <a:t>verall estimated GHG reduction associated with all actions will be </a:t>
          </a:r>
          <a:r>
            <a:rPr lang="en-GB" sz="800" b="0" i="0" u="none" kern="1200">
              <a:solidFill>
                <a:srgbClr val="ED7D31"/>
              </a:solidFill>
              <a:latin typeface="Century Gothic" panose="020B0502020202020204" pitchFamily="34" charset="0"/>
              <a:ea typeface="+mn-ea"/>
              <a:cs typeface="+mn-cs"/>
            </a:rPr>
            <a:t>in 2030 </a:t>
          </a:r>
          <a:r>
            <a:rPr lang="hr-HR" sz="800" b="0" i="0" u="none" kern="1200">
              <a:solidFill>
                <a:sysClr val="windowText" lastClr="000000"/>
              </a:solidFill>
              <a:latin typeface="Century Gothic" panose="020B0502020202020204" pitchFamily="34" charset="0"/>
              <a:ea typeface="+mn-ea"/>
              <a:cs typeface="+mn-cs"/>
            </a:rPr>
            <a:t>11,377.56 t CO</a:t>
          </a:r>
          <a:r>
            <a:rPr lang="hr-HR" sz="800" b="0" i="0" u="none" kern="1200" baseline="-25000">
              <a:solidFill>
                <a:sysClr val="windowText" lastClr="000000"/>
              </a:solidFill>
              <a:latin typeface="Century Gothic" panose="020B0502020202020204" pitchFamily="34" charset="0"/>
              <a:ea typeface="+mn-ea"/>
              <a:cs typeface="+mn-cs"/>
            </a:rPr>
            <a:t>2</a:t>
          </a:r>
          <a:r>
            <a:rPr lang="hr-HR" sz="800" b="0" i="0" u="none" kern="1200">
              <a:solidFill>
                <a:sysClr val="windowText" lastClr="000000"/>
              </a:solidFill>
              <a:latin typeface="Century Gothic" panose="020B0502020202020204" pitchFamily="34" charset="0"/>
              <a:ea typeface="+mn-ea"/>
              <a:cs typeface="+mn-cs"/>
            </a:rPr>
            <a:t>.</a:t>
          </a:r>
          <a:endParaRPr lang="el-GR" sz="800" kern="1200">
            <a:solidFill>
              <a:srgbClr val="ED7D31"/>
            </a:solidFill>
            <a:latin typeface="Century Gothic" panose="020B0502020202020204" pitchFamily="34" charset="0"/>
            <a:ea typeface="+mn-ea"/>
            <a:cs typeface="+mn-cs"/>
          </a:endParaRPr>
        </a:p>
      </dsp:txBody>
      <dsp:txXfrm>
        <a:off x="0" y="1920510"/>
        <a:ext cx="3588689" cy="514800"/>
      </dsp:txXfrm>
    </dsp:sp>
    <dsp:sp modelId="{97AEE72D-BA13-4B91-B04F-7ACDFC545084}">
      <dsp:nvSpPr>
        <dsp:cNvPr id="0" name=""/>
        <dsp:cNvSpPr/>
      </dsp:nvSpPr>
      <dsp:spPr>
        <a:xfrm>
          <a:off x="3958113" y="2528910"/>
          <a:ext cx="1319371" cy="5148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6896" tIns="20320" rIns="56896" bIns="20320" numCol="1" spcCol="1270" anchor="ctr" anchorCtr="0">
          <a:noAutofit/>
        </a:bodyPr>
        <a:lstStyle/>
        <a:p>
          <a:pPr marL="0" lvl="0" indent="0" algn="l" defTabSz="355600">
            <a:lnSpc>
              <a:spcPct val="90000"/>
            </a:lnSpc>
            <a:spcBef>
              <a:spcPct val="0"/>
            </a:spcBef>
            <a:spcAft>
              <a:spcPct val="35000"/>
            </a:spcAft>
            <a:buNone/>
          </a:pPr>
          <a:r>
            <a:rPr lang="en-GB" sz="800" b="1" kern="1200">
              <a:solidFill>
                <a:sysClr val="windowText" lastClr="000000">
                  <a:hueOff val="0"/>
                  <a:satOff val="0"/>
                  <a:lumOff val="0"/>
                  <a:alphaOff val="0"/>
                </a:sysClr>
              </a:solidFill>
              <a:latin typeface="Century Gothic" panose="020B0502020202020204" pitchFamily="34" charset="0"/>
              <a:ea typeface="+mn-ea"/>
              <a:cs typeface="+mn-cs"/>
            </a:rPr>
            <a:t>Carbon emissions originate from 3 key sectors</a:t>
          </a:r>
          <a:endParaRPr lang="el-GR" sz="800" b="1" kern="1200">
            <a:solidFill>
              <a:sysClr val="windowText" lastClr="000000">
                <a:hueOff val="0"/>
                <a:satOff val="0"/>
                <a:lumOff val="0"/>
                <a:alphaOff val="0"/>
              </a:sysClr>
            </a:solidFill>
            <a:latin typeface="Century Gothic" panose="020B0502020202020204" pitchFamily="34" charset="0"/>
            <a:ea typeface="+mn-ea"/>
            <a:cs typeface="+mn-cs"/>
          </a:endParaRPr>
        </a:p>
      </dsp:txBody>
      <dsp:txXfrm>
        <a:off x="3958113" y="2528910"/>
        <a:ext cx="1319371" cy="514800"/>
      </dsp:txXfrm>
    </dsp:sp>
    <dsp:sp modelId="{B6EC1FE6-B953-4118-994F-B503E32D4FD8}">
      <dsp:nvSpPr>
        <dsp:cNvPr id="0" name=""/>
        <dsp:cNvSpPr/>
      </dsp:nvSpPr>
      <dsp:spPr>
        <a:xfrm rot="10800000">
          <a:off x="3694239" y="2528910"/>
          <a:ext cx="263874" cy="514800"/>
        </a:xfrm>
        <a:prstGeom prst="leftBrace">
          <a:avLst>
            <a:gd name="adj1" fmla="val 35000"/>
            <a:gd name="adj2" fmla="val 50000"/>
          </a:avLst>
        </a:prstGeom>
        <a:noFill/>
        <a:ln w="12700" cap="flat" cmpd="sng" algn="ctr">
          <a:solidFill>
            <a:srgbClr val="4472C4">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7A8F5B6-9879-44A3-9137-06DDDDA79E01}">
      <dsp:nvSpPr>
        <dsp:cNvPr id="0" name=""/>
        <dsp:cNvSpPr/>
      </dsp:nvSpPr>
      <dsp:spPr>
        <a:xfrm>
          <a:off x="0" y="2528910"/>
          <a:ext cx="3588689" cy="514800"/>
        </a:xfrm>
        <a:prstGeom prst="rect">
          <a:avLst/>
        </a:prstGeom>
        <a:solidFill>
          <a:srgbClr val="4472C4">
            <a:hueOff val="-7353344"/>
            <a:satOff val="-10228"/>
            <a:lumOff val="-392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57150" lvl="1" indent="-57150" algn="l" defTabSz="355600">
            <a:lnSpc>
              <a:spcPct val="90000"/>
            </a:lnSpc>
            <a:spcBef>
              <a:spcPct val="0"/>
            </a:spcBef>
            <a:spcAft>
              <a:spcPct val="15000"/>
            </a:spcAft>
            <a:buChar char="•"/>
          </a:pPr>
          <a:r>
            <a:rPr lang="en-GB" sz="800" b="0" i="0" u="none" kern="1200">
              <a:solidFill>
                <a:sysClr val="window" lastClr="FFFFFF"/>
              </a:solidFill>
              <a:latin typeface="Century Gothic" panose="020B0502020202020204" pitchFamily="34" charset="0"/>
              <a:ea typeface="+mn-ea"/>
              <a:cs typeface="+mn-cs"/>
            </a:rPr>
            <a:t>Buildings, Equipment/Facilities and Industries </a:t>
          </a:r>
          <a:r>
            <a:rPr lang="en-GB" sz="800" b="0" i="0" kern="1200">
              <a:solidFill>
                <a:sysClr val="window" lastClr="FFFFFF"/>
              </a:solidFill>
              <a:latin typeface="Century Gothic" panose="020B0502020202020204" pitchFamily="34" charset="0"/>
              <a:ea typeface="+mn-ea"/>
              <a:cs typeface="+mn-cs"/>
            </a:rPr>
            <a:t>(</a:t>
          </a:r>
          <a:r>
            <a:rPr lang="hr-HR" sz="800" b="0" i="0" kern="1200">
              <a:solidFill>
                <a:srgbClr val="ED7D31"/>
              </a:solidFill>
              <a:latin typeface="Century Gothic" panose="020B0502020202020204" pitchFamily="34" charset="0"/>
              <a:ea typeface="+mn-ea"/>
              <a:cs typeface="+mn-cs"/>
            </a:rPr>
            <a:t>11.96</a:t>
          </a:r>
          <a:r>
            <a:rPr lang="en-GB" sz="800" b="0" i="0" kern="1200">
              <a:solidFill>
                <a:srgbClr val="ED7D31"/>
              </a:solidFill>
              <a:latin typeface="Century Gothic" panose="020B0502020202020204" pitchFamily="34" charset="0"/>
              <a:ea typeface="+mn-ea"/>
              <a:cs typeface="+mn-cs"/>
            </a:rPr>
            <a:t>%</a:t>
          </a:r>
          <a:r>
            <a:rPr lang="en-GB" sz="800" b="0" i="0" kern="1200">
              <a:solidFill>
                <a:sysClr val="window" lastClr="FFFFFF"/>
              </a:solidFill>
              <a:latin typeface="Century Gothic" panose="020B0502020202020204" pitchFamily="34" charset="0"/>
              <a:ea typeface="+mn-ea"/>
              <a:cs typeface="+mn-cs"/>
            </a:rPr>
            <a:t>),</a:t>
          </a:r>
          <a:endParaRPr lang="el-GR" sz="800" b="0" kern="1200">
            <a:solidFill>
              <a:sysClr val="window" lastClr="FFFFFF"/>
            </a:solidFill>
            <a:latin typeface="Century Gothic" panose="020B0502020202020204" pitchFamily="34" charset="0"/>
            <a:ea typeface="+mn-ea"/>
            <a:cs typeface="+mn-cs"/>
          </a:endParaRPr>
        </a:p>
        <a:p>
          <a:pPr marL="57150" lvl="1" indent="-57150" algn="l" defTabSz="355600">
            <a:lnSpc>
              <a:spcPct val="90000"/>
            </a:lnSpc>
            <a:spcBef>
              <a:spcPct val="0"/>
            </a:spcBef>
            <a:spcAft>
              <a:spcPct val="15000"/>
            </a:spcAft>
            <a:buChar char="•"/>
          </a:pPr>
          <a:r>
            <a:rPr lang="en-GB" sz="800" b="0" i="0" u="none" kern="1200">
              <a:solidFill>
                <a:sysClr val="window" lastClr="FFFFFF"/>
              </a:solidFill>
              <a:latin typeface="Century Gothic" panose="020B0502020202020204" pitchFamily="34" charset="0"/>
              <a:ea typeface="+mn-ea"/>
              <a:cs typeface="+mn-cs"/>
            </a:rPr>
            <a:t>Transport (</a:t>
          </a:r>
          <a:r>
            <a:rPr lang="hr-HR" sz="800" b="0" i="0" kern="1200">
              <a:solidFill>
                <a:srgbClr val="ED7D31"/>
              </a:solidFill>
              <a:latin typeface="Century Gothic" panose="020B0502020202020204" pitchFamily="34" charset="0"/>
              <a:ea typeface="+mn-ea"/>
              <a:cs typeface="+mn-cs"/>
            </a:rPr>
            <a:t>87.86</a:t>
          </a:r>
          <a:r>
            <a:rPr lang="en-GB" sz="800" b="0" i="0" kern="1200">
              <a:solidFill>
                <a:srgbClr val="ED7D31"/>
              </a:solidFill>
              <a:latin typeface="Century Gothic" panose="020B0502020202020204" pitchFamily="34" charset="0"/>
              <a:ea typeface="+mn-ea"/>
              <a:cs typeface="+mn-cs"/>
            </a:rPr>
            <a:t>%</a:t>
          </a:r>
          <a:r>
            <a:rPr lang="en-GB" sz="800" b="0" i="0" u="none" kern="1200">
              <a:solidFill>
                <a:sysClr val="window" lastClr="FFFFFF"/>
              </a:solidFill>
              <a:latin typeface="Century Gothic" panose="020B0502020202020204" pitchFamily="34" charset="0"/>
              <a:ea typeface="+mn-ea"/>
              <a:cs typeface="+mn-cs"/>
            </a:rPr>
            <a:t>)</a:t>
          </a:r>
          <a:endParaRPr lang="el-GR" sz="800" b="0" kern="1200">
            <a:solidFill>
              <a:sysClr val="window" lastClr="FFFFFF"/>
            </a:solidFill>
            <a:latin typeface="Century Gothic" panose="020B0502020202020204" pitchFamily="34" charset="0"/>
            <a:ea typeface="+mn-ea"/>
            <a:cs typeface="+mn-cs"/>
          </a:endParaRPr>
        </a:p>
        <a:p>
          <a:pPr marL="57150" lvl="1" indent="-57150" algn="l" defTabSz="355600">
            <a:lnSpc>
              <a:spcPct val="90000"/>
            </a:lnSpc>
            <a:spcBef>
              <a:spcPct val="0"/>
            </a:spcBef>
            <a:spcAft>
              <a:spcPct val="15000"/>
            </a:spcAft>
            <a:buChar char="•"/>
          </a:pPr>
          <a:r>
            <a:rPr lang="hr-HR" sz="800" b="0" i="0" u="none" kern="1200">
              <a:solidFill>
                <a:sysClr val="window" lastClr="FFFFFF"/>
              </a:solidFill>
              <a:latin typeface="Century Gothic" panose="020B0502020202020204" pitchFamily="34" charset="0"/>
              <a:ea typeface="+mn-ea"/>
              <a:cs typeface="+mn-cs"/>
            </a:rPr>
            <a:t>Public lighting</a:t>
          </a:r>
          <a:r>
            <a:rPr lang="en-GB" sz="800" b="0" i="0" u="none" kern="1200">
              <a:solidFill>
                <a:sysClr val="window" lastClr="FFFFFF"/>
              </a:solidFill>
              <a:latin typeface="Century Gothic" panose="020B0502020202020204" pitchFamily="34" charset="0"/>
              <a:ea typeface="+mn-ea"/>
              <a:cs typeface="+mn-cs"/>
            </a:rPr>
            <a:t> </a:t>
          </a:r>
          <a:r>
            <a:rPr lang="en-GB" sz="800" b="0" i="0" kern="1200">
              <a:solidFill>
                <a:sysClr val="window" lastClr="FFFFFF"/>
              </a:solidFill>
              <a:latin typeface="Century Gothic" panose="020B0502020202020204" pitchFamily="34" charset="0"/>
              <a:ea typeface="+mn-ea"/>
              <a:cs typeface="+mn-cs"/>
            </a:rPr>
            <a:t> (</a:t>
          </a:r>
          <a:r>
            <a:rPr lang="hr-HR" sz="800" b="0" i="0" kern="1200">
              <a:solidFill>
                <a:srgbClr val="ED7D31"/>
              </a:solidFill>
              <a:latin typeface="Century Gothic" panose="020B0502020202020204" pitchFamily="34" charset="0"/>
              <a:ea typeface="+mn-ea"/>
              <a:cs typeface="+mn-cs"/>
            </a:rPr>
            <a:t>0.18</a:t>
          </a:r>
          <a:r>
            <a:rPr lang="en-GB" sz="800" b="0" i="0" kern="1200">
              <a:solidFill>
                <a:srgbClr val="ED7D31"/>
              </a:solidFill>
              <a:latin typeface="Century Gothic" panose="020B0502020202020204" pitchFamily="34" charset="0"/>
              <a:ea typeface="+mn-ea"/>
              <a:cs typeface="+mn-cs"/>
            </a:rPr>
            <a:t>%</a:t>
          </a:r>
          <a:r>
            <a:rPr lang="en-GB" sz="800" b="0" i="0" kern="1200">
              <a:solidFill>
                <a:sysClr val="window" lastClr="FFFFFF"/>
              </a:solidFill>
              <a:latin typeface="Century Gothic" panose="020B0502020202020204" pitchFamily="34" charset="0"/>
              <a:ea typeface="+mn-ea"/>
              <a:cs typeface="+mn-cs"/>
            </a:rPr>
            <a:t>)</a:t>
          </a:r>
          <a:endParaRPr lang="el-GR" sz="800" b="0" kern="1200">
            <a:solidFill>
              <a:sysClr val="window" lastClr="FFFFFF"/>
            </a:solidFill>
            <a:latin typeface="Century Gothic" panose="020B0502020202020204" pitchFamily="34" charset="0"/>
            <a:ea typeface="+mn-ea"/>
            <a:cs typeface="+mn-cs"/>
          </a:endParaRPr>
        </a:p>
      </dsp:txBody>
      <dsp:txXfrm>
        <a:off x="0" y="2528910"/>
        <a:ext cx="3588689" cy="514800"/>
      </dsp:txXfrm>
    </dsp:sp>
  </dsp:spTree>
</dsp:drawing>
</file>

<file path=word/diagrams/layout1.xml><?xml version="1.0" encoding="utf-8"?>
<dgm:layoutDef xmlns:dgm="http://schemas.openxmlformats.org/drawingml/2006/diagram" xmlns:a="http://schemas.openxmlformats.org/drawingml/2006/main" uniqueId="urn:diagrams.loki3.com/BracketList">
  <dgm:title val="Vertical Bracket List"/>
  <dgm:desc val="Use to show grouped blocks of information.  Works well with large amounts of Level 2 text."/>
  <dgm:catLst>
    <dgm:cat type="list" pri="4110"/>
    <dgm:cat type="officeonline" pri="3000"/>
  </dgm:catLst>
  <dgm:sampData>
    <dgm:dataModel>
      <dgm:ptLst>
        <dgm:pt modelId="0" type="doc"/>
        <dgm:pt modelId="1">
          <dgm:prSet phldr="1"/>
        </dgm:pt>
        <dgm:pt modelId="11">
          <dgm:prSet phldr="1"/>
        </dgm:pt>
        <dgm:pt modelId="2">
          <dgm:prSet phldr="1"/>
        </dgm:pt>
        <dgm:pt modelId="21">
          <dgm:prSet phldr="1"/>
        </dgm:pt>
      </dgm:ptLst>
      <dgm:cxnLst>
        <dgm:cxn modelId="3" srcId="0" destId="1" srcOrd="0" destOrd="0"/>
        <dgm:cxn modelId="4" srcId="1" destId="11" srcOrd="0" destOrd="0"/>
        <dgm:cxn modelId="5" srcId="0" destId="2" srcOrd="0" destOrd="0"/>
        <dgm:cxn modelId="6" srcId="2" destId="21" srcOrd="0" destOrd="0"/>
      </dgm:cxnLst>
      <dgm:bg/>
      <dgm:whole/>
    </dgm:dataModel>
  </dgm:sampData>
  <dgm:styleData useDef="1">
    <dgm:dataModel>
      <dgm:ptLst/>
      <dgm:bg/>
      <dgm:whole/>
    </dgm:dataModel>
  </dgm:styleData>
  <dgm:clrData useDef="1">
    <dgm:dataModel>
      <dgm:pt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V" refType="primFontSz" refFor="des" refForName="parTx" fact="0.1"/>
      <dgm:constr type="primFontSz" for="des" forName="parTx" val="65"/>
      <dgm:constr type="primFontSz" for="des" forName="desTx" refType="primFontSz" refFor="des" refForName="parTx"/>
      <dgm:constr type="h" for="des" forName="parTx" refType="primFontSz" refFor="des" refForName="parTx" fact="0.55"/>
      <dgm:constr type="h" for="des" forName="bracket" refType="primFontSz" refFor="des" refForName="parTx" fact="0.55"/>
      <dgm:constr type="h" for="des" forName="desTx" refType="primFontSz" refFor="des" refForName="parTx" fact="0.55"/>
    </dgm:constrLst>
    <dgm:ruleLst>
      <dgm:rule type="primFontSz" for="des" forName="parTx" val="5" fact="NaN" max="NaN"/>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Tx" refType="w" fact="0.25"/>
          <dgm:constr type="w" for="ch" forName="bracket" refType="w" fact="0.05"/>
          <dgm:constr type="w" for="ch" forName="spH" refType="w" fact="0.02"/>
          <dgm:constr type="w" for="ch" forName="desTx" refType="w" fact="0.68"/>
          <dgm:constr type="h" for="ch" forName="bracket" refType="h" refFor="ch" refForName="desTx" op="gte"/>
          <dgm:constr type="h" for="ch" forName="bracket" refType="h" refFor="ch" refForName="parTx" op="gte"/>
          <dgm:constr type="h" for="ch" forName="desTx" refType="h" refFor="ch" refForName="parTx" op="gte"/>
        </dgm:constrLst>
        <dgm:ruleLst/>
        <dgm:layoutNode name="parTx" styleLbl="revTx">
          <dgm:varLst>
            <dgm:chMax val="1"/>
            <dgm:bulletEnabled val="1"/>
          </dgm:varLst>
          <dgm:choose name="Name8">
            <dgm:if name="Name9" func="var" arg="dir" op="equ" val="norm">
              <dgm:alg type="tx">
                <dgm:param type="parTxLTRAlign" val="r"/>
              </dgm:alg>
            </dgm:if>
            <dgm:else name="Name10">
              <dgm:alg type="tx">
                <dgm:param type="parTxLTRAlign" val="l"/>
              </dgm:alg>
            </dgm:else>
          </dgm:choose>
          <dgm:shape xmlns:r="http://schemas.openxmlformats.org/officeDocument/2006/relationships" type="rect" r:blip="">
            <dgm:adjLst/>
          </dgm:shape>
          <dgm:presOf axis="self" ptType="node"/>
          <dgm:constrLst>
            <dgm:constr type="tMarg" refType="primFontSz" fact="0.2"/>
            <dgm:constr type="bMarg" refType="primFontSz" fact="0.2"/>
          </dgm:constrLst>
          <dgm:ruleLst>
            <dgm:rule type="h" val="INF" fact="NaN" max="NaN"/>
          </dgm:ruleLst>
        </dgm:layoutNode>
        <dgm:layoutNode name="bracket" styleLbl="parChTrans1D1">
          <dgm:alg type="sp"/>
          <dgm:choose name="Name11">
            <dgm:if name="Name12" func="var" arg="dir" op="equ" val="norm">
              <dgm:shape xmlns:r="http://schemas.openxmlformats.org/officeDocument/2006/relationships" type="leftBrace" r:blip="">
                <dgm:adjLst>
                  <dgm:adj idx="1" val="0.35"/>
                </dgm:adjLst>
              </dgm:shape>
            </dgm:if>
            <dgm:else name="Name13">
              <dgm:shape xmlns:r="http://schemas.openxmlformats.org/officeDocument/2006/relationships" rot="180" type="leftBrace" r:blip="">
                <dgm:adjLst>
                  <dgm:adj idx="1" val="0.35"/>
                </dgm:adjLst>
              </dgm:shape>
            </dgm:else>
          </dgm:choose>
          <dgm:presOf/>
        </dgm:layoutNode>
        <dgm:layoutNode name="spH">
          <dgm:alg type="sp"/>
        </dgm:layoutNode>
        <dgm:choose name="Name14">
          <dgm:if name="Name15" axis="ch" ptType="node" func="cnt" op="gte" val="1">
            <dgm:layoutNode name="desTx" styleLbl="node1">
              <dgm:varLst>
                <dgm:bulletEnabled val="1"/>
              </dgm:varLst>
              <dgm:alg type="tx">
                <dgm:param type="stBulletLvl" val="1"/>
                <dgm:param type="txAnchorVertCh" val="mid"/>
              </dgm:alg>
              <dgm:shape xmlns:r="http://schemas.openxmlformats.org/officeDocument/2006/relationships" type="rect" r:blip="">
                <dgm:adjLst/>
              </dgm:shape>
              <dgm:presOf axis="des" ptType="node"/>
              <dgm:constrLst>
                <dgm:constr type="secFontSz" refType="primFontSz"/>
                <dgm:constr type="tMarg" refType="primFontSz" fact="0.3"/>
                <dgm:constr type="bMarg" refType="primFontSz" fact="0.3"/>
                <dgm:constr type="lMarg" refType="primFontSz" fact="0.3"/>
                <dgm:constr type="rMarg" refType="primFontSz" fact="0.3"/>
              </dgm:constrLst>
              <dgm:ruleLst>
                <dgm:rule type="h" val="INF" fact="NaN" max="NaN"/>
              </dgm:ruleLst>
            </dgm:layoutNode>
          </dgm:if>
          <dgm:else name="Name16"/>
        </dgm:choose>
      </dgm:layoutNode>
      <dgm:forEach name="Name17" axis="followSib" ptType="sibTrans" cnt="1">
        <dgm:layoutNode name="spV">
          <dgm:alg type="sp"/>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E651B-4B2D-4FB0-8AA3-DE8D59247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13</Pages>
  <Words>1409</Words>
  <Characters>8033</Characters>
  <Application>Microsoft Office Word</Application>
  <DocSecurity>0</DocSecurity>
  <Lines>66</Lines>
  <Paragraphs>18</Paragraphs>
  <ScaleCrop>false</ScaleCrop>
  <HeadingPairs>
    <vt:vector size="8" baseType="variant">
      <vt:variant>
        <vt:lpstr>Title</vt:lpstr>
      </vt:variant>
      <vt:variant>
        <vt:i4>1</vt:i4>
      </vt:variant>
      <vt:variant>
        <vt:lpstr>Naslov</vt:lpstr>
      </vt:variant>
      <vt:variant>
        <vt:i4>1</vt:i4>
      </vt:variant>
      <vt:variant>
        <vt:lpstr>Titolo</vt:lpstr>
      </vt:variant>
      <vt:variant>
        <vt:i4>1</vt:i4>
      </vt:variant>
      <vt:variant>
        <vt:lpstr>Título</vt:lpstr>
      </vt:variant>
      <vt:variant>
        <vt:i4>1</vt:i4>
      </vt:variant>
    </vt:vector>
  </HeadingPairs>
  <TitlesOfParts>
    <vt:vector size="4" baseType="lpstr">
      <vt:lpstr/>
      <vt:lpstr/>
      <vt:lpstr/>
      <vt:lpstr/>
    </vt:vector>
  </TitlesOfParts>
  <Company/>
  <LinksUpToDate>false</LinksUpToDate>
  <CharactersWithSpaces>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Effie KORMA</dc:creator>
  <cp:keywords/>
  <cp:lastModifiedBy>Bojana Bojanić</cp:lastModifiedBy>
  <cp:revision>34</cp:revision>
  <dcterms:created xsi:type="dcterms:W3CDTF">2019-04-10T09:17:00Z</dcterms:created>
  <dcterms:modified xsi:type="dcterms:W3CDTF">2019-04-30T06:49:00Z</dcterms:modified>
</cp:coreProperties>
</file>